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1A4D3" w14:textId="77777777" w:rsidR="006710D8" w:rsidRDefault="006710D8">
      <w:pPr>
        <w:spacing w:line="480" w:lineRule="auto"/>
        <w:jc w:val="center"/>
        <w:rPr>
          <w:rFonts w:ascii="Times New Roman" w:eastAsia="Times New Roman" w:hAnsi="Times New Roman" w:cs="Times New Roman"/>
          <w:b/>
          <w:bCs/>
          <w:sz w:val="28"/>
          <w:szCs w:val="28"/>
        </w:rPr>
      </w:pPr>
    </w:p>
    <w:p w14:paraId="3F54DEF2" w14:textId="77777777" w:rsidR="006710D8" w:rsidRDefault="006710D8">
      <w:pPr>
        <w:spacing w:line="480" w:lineRule="auto"/>
        <w:jc w:val="center"/>
        <w:rPr>
          <w:rFonts w:ascii="Times New Roman" w:eastAsia="Times New Roman" w:hAnsi="Times New Roman" w:cs="Times New Roman"/>
          <w:b/>
          <w:bCs/>
          <w:sz w:val="28"/>
          <w:szCs w:val="28"/>
        </w:rPr>
      </w:pPr>
    </w:p>
    <w:p w14:paraId="46EF1648" w14:textId="77777777" w:rsidR="006710D8" w:rsidRDefault="006710D8">
      <w:pPr>
        <w:spacing w:line="480" w:lineRule="auto"/>
        <w:jc w:val="center"/>
        <w:rPr>
          <w:rFonts w:ascii="Times New Roman" w:eastAsia="Times New Roman" w:hAnsi="Times New Roman" w:cs="Times New Roman"/>
          <w:b/>
          <w:bCs/>
          <w:sz w:val="28"/>
          <w:szCs w:val="28"/>
        </w:rPr>
      </w:pPr>
    </w:p>
    <w:p w14:paraId="00000001" w14:textId="35F9B059" w:rsidR="00AB4CD0" w:rsidRDefault="004C12C0">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Marketing Scholarship and Environmentally-Sustainable Retailing: </w:t>
      </w:r>
    </w:p>
    <w:p w14:paraId="00000002" w14:textId="77777777" w:rsidR="00AB4CD0" w:rsidRDefault="004C12C0">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Two-Stage Framework for Greener Consumption and Production</w:t>
      </w:r>
    </w:p>
    <w:p w14:paraId="00000003" w14:textId="7CEF58C3" w:rsidR="00AB4CD0" w:rsidRDefault="00AB4CD0">
      <w:pPr>
        <w:spacing w:line="480" w:lineRule="auto"/>
        <w:rPr>
          <w:rFonts w:ascii="Times New Roman" w:eastAsia="Times New Roman" w:hAnsi="Times New Roman" w:cs="Times New Roman"/>
          <w:b/>
          <w:bCs/>
        </w:rPr>
      </w:pPr>
    </w:p>
    <w:p w14:paraId="58C2BE2A" w14:textId="77777777" w:rsidR="006710D8" w:rsidRDefault="006710D8">
      <w:pPr>
        <w:spacing w:line="480" w:lineRule="auto"/>
        <w:rPr>
          <w:rFonts w:ascii="Times New Roman" w:eastAsia="Times New Roman" w:hAnsi="Times New Roman" w:cs="Times New Roman"/>
          <w:bCs/>
        </w:rPr>
      </w:pPr>
    </w:p>
    <w:p w14:paraId="023A298D" w14:textId="77777777" w:rsidR="006710D8" w:rsidRDefault="006710D8">
      <w:pPr>
        <w:spacing w:line="480" w:lineRule="auto"/>
        <w:rPr>
          <w:rFonts w:ascii="Times New Roman" w:eastAsia="Times New Roman" w:hAnsi="Times New Roman" w:cs="Times New Roman"/>
          <w:bCs/>
        </w:rPr>
      </w:pPr>
    </w:p>
    <w:p w14:paraId="052D2116" w14:textId="42062EB2" w:rsidR="006710D8" w:rsidRPr="006710D8" w:rsidRDefault="006710D8" w:rsidP="006710D8">
      <w:pPr>
        <w:spacing w:line="480" w:lineRule="auto"/>
        <w:jc w:val="center"/>
        <w:rPr>
          <w:rFonts w:ascii="Times New Roman" w:eastAsia="Times New Roman" w:hAnsi="Times New Roman" w:cs="Times New Roman"/>
          <w:bCs/>
        </w:rPr>
      </w:pPr>
      <w:r w:rsidRPr="006710D8">
        <w:rPr>
          <w:rFonts w:ascii="Times New Roman" w:eastAsia="Times New Roman" w:hAnsi="Times New Roman" w:cs="Times New Roman"/>
          <w:bCs/>
        </w:rPr>
        <w:t xml:space="preserve">Christoph Ungemach, Vivek </w:t>
      </w:r>
      <w:proofErr w:type="spellStart"/>
      <w:r w:rsidRPr="006710D8">
        <w:rPr>
          <w:rFonts w:ascii="Times New Roman" w:eastAsia="Times New Roman" w:hAnsi="Times New Roman" w:cs="Times New Roman"/>
          <w:bCs/>
        </w:rPr>
        <w:t>Astvansh</w:t>
      </w:r>
      <w:proofErr w:type="spellEnd"/>
      <w:r w:rsidRPr="006710D8">
        <w:rPr>
          <w:rFonts w:ascii="Times New Roman" w:eastAsia="Times New Roman" w:hAnsi="Times New Roman" w:cs="Times New Roman"/>
          <w:bCs/>
        </w:rPr>
        <w:t xml:space="preserve">, </w:t>
      </w:r>
      <w:proofErr w:type="spellStart"/>
      <w:r w:rsidRPr="006710D8">
        <w:rPr>
          <w:rFonts w:ascii="Times New Roman" w:eastAsia="Times New Roman" w:hAnsi="Times New Roman" w:cs="Times New Roman"/>
          <w:bCs/>
        </w:rPr>
        <w:t>Suneal</w:t>
      </w:r>
      <w:proofErr w:type="spellEnd"/>
      <w:r w:rsidRPr="006710D8">
        <w:rPr>
          <w:rFonts w:ascii="Times New Roman" w:eastAsia="Times New Roman" w:hAnsi="Times New Roman" w:cs="Times New Roman"/>
          <w:bCs/>
        </w:rPr>
        <w:t xml:space="preserve"> </w:t>
      </w:r>
      <w:proofErr w:type="spellStart"/>
      <w:r w:rsidRPr="006710D8">
        <w:rPr>
          <w:rFonts w:ascii="Times New Roman" w:eastAsia="Times New Roman" w:hAnsi="Times New Roman" w:cs="Times New Roman"/>
          <w:bCs/>
        </w:rPr>
        <w:t>Bedi</w:t>
      </w:r>
      <w:proofErr w:type="spellEnd"/>
      <w:r w:rsidRPr="006710D8">
        <w:rPr>
          <w:rFonts w:ascii="Times New Roman" w:eastAsia="Times New Roman" w:hAnsi="Times New Roman" w:cs="Times New Roman"/>
          <w:bCs/>
        </w:rPr>
        <w:t xml:space="preserve">, Dinesh Puranam, Anna </w:t>
      </w:r>
      <w:proofErr w:type="spellStart"/>
      <w:r w:rsidRPr="006710D8">
        <w:rPr>
          <w:rFonts w:ascii="Times New Roman" w:eastAsia="Times New Roman" w:hAnsi="Times New Roman" w:cs="Times New Roman"/>
          <w:bCs/>
        </w:rPr>
        <w:t>Sáez</w:t>
      </w:r>
      <w:proofErr w:type="spellEnd"/>
      <w:r w:rsidRPr="006710D8">
        <w:rPr>
          <w:rFonts w:ascii="Times New Roman" w:eastAsia="Times New Roman" w:hAnsi="Times New Roman" w:cs="Times New Roman"/>
          <w:bCs/>
        </w:rPr>
        <w:t xml:space="preserve"> de Tejada Cuenca, Tamara Sheldon, Christian Blanco, Sara Constantino, Tamar </w:t>
      </w:r>
      <w:proofErr w:type="spellStart"/>
      <w:r w:rsidRPr="006710D8">
        <w:rPr>
          <w:rFonts w:ascii="Times New Roman" w:eastAsia="Times New Roman" w:hAnsi="Times New Roman" w:cs="Times New Roman"/>
          <w:bCs/>
        </w:rPr>
        <w:t>Makov</w:t>
      </w:r>
      <w:proofErr w:type="spellEnd"/>
      <w:r w:rsidRPr="006710D8">
        <w:rPr>
          <w:rFonts w:ascii="Times New Roman" w:eastAsia="Times New Roman" w:hAnsi="Times New Roman" w:cs="Times New Roman"/>
          <w:bCs/>
        </w:rPr>
        <w:t xml:space="preserve">, </w:t>
      </w:r>
      <w:proofErr w:type="spellStart"/>
      <w:r w:rsidRPr="006710D8">
        <w:rPr>
          <w:rFonts w:ascii="Times New Roman" w:eastAsia="Times New Roman" w:hAnsi="Times New Roman" w:cs="Times New Roman"/>
          <w:bCs/>
        </w:rPr>
        <w:t>Shelie</w:t>
      </w:r>
      <w:proofErr w:type="spellEnd"/>
      <w:r w:rsidRPr="006710D8">
        <w:rPr>
          <w:rFonts w:ascii="Times New Roman" w:eastAsia="Times New Roman" w:hAnsi="Times New Roman" w:cs="Times New Roman"/>
          <w:bCs/>
        </w:rPr>
        <w:t xml:space="preserve"> Miller, </w:t>
      </w:r>
      <w:proofErr w:type="spellStart"/>
      <w:r w:rsidRPr="006710D8">
        <w:rPr>
          <w:rFonts w:ascii="Times New Roman" w:eastAsia="Times New Roman" w:hAnsi="Times New Roman" w:cs="Times New Roman"/>
          <w:bCs/>
        </w:rPr>
        <w:t>Cem</w:t>
      </w:r>
      <w:proofErr w:type="spellEnd"/>
      <w:r w:rsidRPr="006710D8">
        <w:rPr>
          <w:rFonts w:ascii="Times New Roman" w:eastAsia="Times New Roman" w:hAnsi="Times New Roman" w:cs="Times New Roman"/>
          <w:bCs/>
        </w:rPr>
        <w:t xml:space="preserve"> </w:t>
      </w:r>
      <w:proofErr w:type="spellStart"/>
      <w:r w:rsidRPr="006710D8">
        <w:rPr>
          <w:rFonts w:ascii="Times New Roman" w:eastAsia="Times New Roman" w:hAnsi="Times New Roman" w:cs="Times New Roman"/>
          <w:bCs/>
        </w:rPr>
        <w:t>Öztürk</w:t>
      </w:r>
      <w:proofErr w:type="spellEnd"/>
      <w:r w:rsidRPr="006710D8">
        <w:rPr>
          <w:rFonts w:ascii="Times New Roman" w:eastAsia="Times New Roman" w:hAnsi="Times New Roman" w:cs="Times New Roman"/>
          <w:bCs/>
        </w:rPr>
        <w:t xml:space="preserve">, David </w:t>
      </w:r>
      <w:proofErr w:type="spellStart"/>
      <w:r w:rsidRPr="006710D8">
        <w:rPr>
          <w:rFonts w:ascii="Times New Roman" w:eastAsia="Times New Roman" w:hAnsi="Times New Roman" w:cs="Times New Roman"/>
          <w:bCs/>
        </w:rPr>
        <w:t>Reibstein</w:t>
      </w:r>
      <w:proofErr w:type="spellEnd"/>
      <w:r w:rsidRPr="006710D8">
        <w:rPr>
          <w:rFonts w:ascii="Times New Roman" w:eastAsia="Times New Roman" w:hAnsi="Times New Roman" w:cs="Times New Roman"/>
          <w:bCs/>
        </w:rPr>
        <w:t xml:space="preserve">, </w:t>
      </w:r>
      <w:r>
        <w:rPr>
          <w:rFonts w:ascii="Times New Roman" w:eastAsia="Times New Roman" w:hAnsi="Times New Roman" w:cs="Times New Roman"/>
          <w:bCs/>
        </w:rPr>
        <w:t xml:space="preserve">&amp; </w:t>
      </w:r>
      <w:r w:rsidRPr="006710D8">
        <w:rPr>
          <w:rFonts w:ascii="Times New Roman" w:eastAsia="Times New Roman" w:hAnsi="Times New Roman" w:cs="Times New Roman"/>
          <w:bCs/>
        </w:rPr>
        <w:t xml:space="preserve">David </w:t>
      </w:r>
      <w:r>
        <w:rPr>
          <w:rFonts w:ascii="Times New Roman" w:eastAsia="Times New Roman" w:hAnsi="Times New Roman" w:cs="Times New Roman"/>
          <w:bCs/>
        </w:rPr>
        <w:t xml:space="preserve">J. </w:t>
      </w:r>
      <w:r w:rsidRPr="006710D8">
        <w:rPr>
          <w:rFonts w:ascii="Times New Roman" w:eastAsia="Times New Roman" w:hAnsi="Times New Roman" w:cs="Times New Roman"/>
          <w:bCs/>
        </w:rPr>
        <w:t>Hardisty</w:t>
      </w:r>
    </w:p>
    <w:p w14:paraId="1A3A81FB" w14:textId="77777777" w:rsidR="006710D8" w:rsidRDefault="006710D8">
      <w:pPr>
        <w:rPr>
          <w:rFonts w:ascii="Times New Roman" w:eastAsia="Times New Roman" w:hAnsi="Times New Roman" w:cs="Times New Roman"/>
          <w:b/>
          <w:bCs/>
        </w:rPr>
      </w:pPr>
      <w:r>
        <w:rPr>
          <w:rFonts w:ascii="Times New Roman" w:eastAsia="Times New Roman" w:hAnsi="Times New Roman" w:cs="Times New Roman"/>
          <w:b/>
          <w:bCs/>
        </w:rPr>
        <w:br w:type="page"/>
      </w:r>
      <w:bookmarkStart w:id="0" w:name="_GoBack"/>
      <w:bookmarkEnd w:id="0"/>
    </w:p>
    <w:p w14:paraId="00000004" w14:textId="5B2E4C85" w:rsidR="00AB4CD0" w:rsidRDefault="004C12C0">
      <w:pPr>
        <w:spacing w:line="480" w:lineRule="auto"/>
        <w:rPr>
          <w:rFonts w:ascii="Times New Roman" w:eastAsia="Times New Roman" w:hAnsi="Times New Roman" w:cs="Times New Roman"/>
          <w:highlight w:val="yellow"/>
        </w:rPr>
      </w:pPr>
      <w:r>
        <w:rPr>
          <w:rFonts w:ascii="Times New Roman" w:eastAsia="Times New Roman" w:hAnsi="Times New Roman" w:cs="Times New Roman"/>
          <w:b/>
          <w:bCs/>
        </w:rPr>
        <w:lastRenderedPageBreak/>
        <w:t>Abstract</w:t>
      </w:r>
    </w:p>
    <w:p w14:paraId="00000005" w14:textId="77777777" w:rsidR="00AB4CD0" w:rsidRDefault="004C12C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Marketing scholarship in the retailing domain can play an important role in advancing environmentally sustainable consumption and production. We synthesize prior research across marketing and related fields and introduce a novel two-stage framework that ex</w:t>
      </w:r>
      <w:r>
        <w:rPr>
          <w:rFonts w:ascii="Times New Roman" w:eastAsia="Times New Roman" w:hAnsi="Times New Roman" w:cs="Times New Roman"/>
        </w:rPr>
        <w:t>amines sustainability interventions through the lens of retail actor interactions. The framework characterizes how different actors (e.g., consumers, retailers, manufacturers, regulators) influence one another and evaluates interventions based on their fea</w:t>
      </w:r>
      <w:r>
        <w:rPr>
          <w:rFonts w:ascii="Times New Roman" w:eastAsia="Times New Roman" w:hAnsi="Times New Roman" w:cs="Times New Roman"/>
        </w:rPr>
        <w:t>sibility and environmental impact. Although marketing has contributed to unsustainable consumption patterns, we argue that it holds significant potential to accelerate the transition toward environmental sustainability. Retail emerges not only as a context</w:t>
      </w:r>
      <w:r>
        <w:rPr>
          <w:rFonts w:ascii="Times New Roman" w:eastAsia="Times New Roman" w:hAnsi="Times New Roman" w:cs="Times New Roman"/>
        </w:rPr>
        <w:t xml:space="preserve"> in which sustainability challenges manifest, but as a strategic domain where coordinated action can drive transformative change. Our framework offers a structured approach to mapping interventions, assessing their effectiveness, and understanding the mech</w:t>
      </w:r>
      <w:r>
        <w:rPr>
          <w:rFonts w:ascii="Times New Roman" w:eastAsia="Times New Roman" w:hAnsi="Times New Roman" w:cs="Times New Roman"/>
        </w:rPr>
        <w:t>anisms that link the interventions to their effectiveness. It helps stakeholders identify the most promising strategies to foster environmentally sustainable behavior and manage interactions across the retail ecosystem. The framework informs marketing scho</w:t>
      </w:r>
      <w:r>
        <w:rPr>
          <w:rFonts w:ascii="Times New Roman" w:eastAsia="Times New Roman" w:hAnsi="Times New Roman" w:cs="Times New Roman"/>
        </w:rPr>
        <w:t>lars by highlighting research gaps, by revealing barriers that limit the effectiveness of current interventions, and by pointing to opportunities to adapt successful approaches across actors to better support sustainability goals.</w:t>
      </w:r>
    </w:p>
    <w:p w14:paraId="00000006" w14:textId="77777777" w:rsidR="00AB4CD0" w:rsidRDefault="00AB4CD0">
      <w:pPr>
        <w:spacing w:line="480" w:lineRule="auto"/>
        <w:jc w:val="both"/>
        <w:rPr>
          <w:rFonts w:ascii="Times New Roman" w:eastAsia="Times New Roman" w:hAnsi="Times New Roman" w:cs="Times New Roman"/>
        </w:rPr>
      </w:pPr>
    </w:p>
    <w:p w14:paraId="00000007" w14:textId="77777777" w:rsidR="00AB4CD0" w:rsidRDefault="004C12C0">
      <w:pPr>
        <w:spacing w:line="480" w:lineRule="auto"/>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Sustainable</w:t>
      </w:r>
      <w:r>
        <w:rPr>
          <w:rFonts w:ascii="Times New Roman" w:eastAsia="Times New Roman" w:hAnsi="Times New Roman" w:cs="Times New Roman"/>
          <w:b/>
          <w:bCs/>
        </w:rPr>
        <w:t xml:space="preserve"> </w:t>
      </w:r>
      <w:r>
        <w:rPr>
          <w:rFonts w:ascii="Times New Roman" w:eastAsia="Times New Roman" w:hAnsi="Times New Roman" w:cs="Times New Roman"/>
        </w:rPr>
        <w:t>co</w:t>
      </w:r>
      <w:r>
        <w:rPr>
          <w:rFonts w:ascii="Times New Roman" w:eastAsia="Times New Roman" w:hAnsi="Times New Roman" w:cs="Times New Roman"/>
        </w:rPr>
        <w:t>nsumption; Sustainable retail; Climate-change mitigation, Greenhouse gas emissions; Impact; Policy</w:t>
      </w:r>
    </w:p>
    <w:p w14:paraId="00000008" w14:textId="77777777" w:rsidR="00AB4CD0" w:rsidRDefault="004C12C0">
      <w:pPr>
        <w:spacing w:line="480" w:lineRule="auto"/>
        <w:rPr>
          <w:rFonts w:ascii="Times New Roman" w:eastAsia="Times New Roman" w:hAnsi="Times New Roman" w:cs="Times New Roman"/>
          <w:b/>
          <w:bCs/>
        </w:rPr>
      </w:pPr>
      <w:r>
        <w:rPr>
          <w:rFonts w:ascii="Times New Roman" w:eastAsia="Times New Roman" w:hAnsi="Times New Roman" w:cs="Times New Roman"/>
          <w:b/>
          <w:bCs/>
        </w:rPr>
        <w:t>Acknowledgements:</w:t>
      </w:r>
      <w:r>
        <w:rPr>
          <w:rFonts w:ascii="Times New Roman" w:eastAsia="Times New Roman" w:hAnsi="Times New Roman" w:cs="Times New Roman"/>
        </w:rPr>
        <w:t xml:space="preserve"> The authors would like to thank the organizers of the 12th Triennial Choice Symposium at INSEAD, Fontainebleau, for selecting the special s</w:t>
      </w:r>
      <w:r>
        <w:rPr>
          <w:rFonts w:ascii="Times New Roman" w:eastAsia="Times New Roman" w:hAnsi="Times New Roman" w:cs="Times New Roman"/>
        </w:rPr>
        <w:t>ession that enabled the conceptualization of this paper.</w:t>
      </w:r>
      <w:r>
        <w:br w:type="page"/>
      </w:r>
    </w:p>
    <w:p w14:paraId="00000009" w14:textId="77777777" w:rsidR="00AB4CD0" w:rsidRDefault="004C12C0">
      <w:pPr>
        <w:numPr>
          <w:ilvl w:val="0"/>
          <w:numId w:val="2"/>
        </w:numPr>
        <w:pBdr>
          <w:top w:val="nil"/>
          <w:left w:val="nil"/>
          <w:bottom w:val="nil"/>
          <w:right w:val="nil"/>
          <w:between w:val="nil"/>
        </w:pBdr>
        <w:spacing w:before="120" w:line="48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Introduction</w:t>
      </w:r>
    </w:p>
    <w:p w14:paraId="0000000A"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urgent challenge of reducing our environmental footprint will require more sustainable consumption and production (</w:t>
      </w:r>
      <w:proofErr w:type="spellStart"/>
      <w:r>
        <w:rPr>
          <w:rFonts w:ascii="Times New Roman" w:eastAsia="Times New Roman" w:hAnsi="Times New Roman" w:cs="Times New Roman"/>
        </w:rPr>
        <w:t>Poushter</w:t>
      </w:r>
      <w:proofErr w:type="spellEnd"/>
      <w:r>
        <w:rPr>
          <w:rFonts w:ascii="Times New Roman" w:eastAsia="Times New Roman" w:hAnsi="Times New Roman" w:cs="Times New Roman"/>
        </w:rPr>
        <w:t xml:space="preserve"> et al. </w:t>
      </w:r>
      <w:hyperlink r:id="rId8">
        <w:r>
          <w:rPr>
            <w:rFonts w:ascii="Times New Roman" w:eastAsia="Times New Roman" w:hAnsi="Times New Roman" w:cs="Times New Roman"/>
          </w:rPr>
          <w:t>2022</w:t>
        </w:r>
      </w:hyperlink>
      <w:r>
        <w:rPr>
          <w:rFonts w:ascii="Times New Roman" w:eastAsia="Times New Roman" w:hAnsi="Times New Roman" w:cs="Times New Roman"/>
        </w:rPr>
        <w:t xml:space="preserve">; Tyson &amp; Kennedy </w:t>
      </w:r>
      <w:hyperlink r:id="rId9">
        <w:r>
          <w:rPr>
            <w:rFonts w:ascii="Times New Roman" w:eastAsia="Times New Roman" w:hAnsi="Times New Roman" w:cs="Times New Roman"/>
          </w:rPr>
          <w:t>2023</w:t>
        </w:r>
      </w:hyperlink>
      <w:r>
        <w:rPr>
          <w:rFonts w:ascii="Times New Roman" w:eastAsia="Times New Roman" w:hAnsi="Times New Roman" w:cs="Times New Roman"/>
        </w:rPr>
        <w:t>), especially in retailing (</w:t>
      </w:r>
      <w:proofErr w:type="spellStart"/>
      <w:r>
        <w:rPr>
          <w:rFonts w:ascii="Times New Roman" w:eastAsia="Times New Roman" w:hAnsi="Times New Roman" w:cs="Times New Roman"/>
        </w:rPr>
        <w:t>Vadakkepatt</w:t>
      </w:r>
      <w:proofErr w:type="spellEnd"/>
      <w:r>
        <w:rPr>
          <w:rFonts w:ascii="Times New Roman" w:eastAsia="Times New Roman" w:hAnsi="Times New Roman" w:cs="Times New Roman"/>
        </w:rPr>
        <w:t xml:space="preserve"> et al. 2021). It is essential to transition current behaviors and business practices to use natural resources in ways that meet the needs of today while allowing future generations to fulfill their own needs</w:t>
      </w:r>
      <w:r>
        <w:rPr>
          <w:rFonts w:ascii="Times New Roman" w:eastAsia="Times New Roman" w:hAnsi="Times New Roman" w:cs="Times New Roman"/>
        </w:rPr>
        <w:t xml:space="preserve"> (Catlin &amp; Wang 2013; </w:t>
      </w:r>
      <w:proofErr w:type="spellStart"/>
      <w:r>
        <w:rPr>
          <w:rFonts w:ascii="Times New Roman" w:eastAsia="Times New Roman" w:hAnsi="Times New Roman" w:cs="Times New Roman"/>
        </w:rPr>
        <w:t>Chernev</w:t>
      </w:r>
      <w:proofErr w:type="spellEnd"/>
      <w:r>
        <w:rPr>
          <w:rFonts w:ascii="Times New Roman" w:eastAsia="Times New Roman" w:hAnsi="Times New Roman" w:cs="Times New Roman"/>
        </w:rPr>
        <w:t xml:space="preserve"> &amp; Blair 2021). Recognizing </w:t>
      </w:r>
      <w:proofErr w:type="gramStart"/>
      <w:r>
        <w:rPr>
          <w:rFonts w:ascii="Times New Roman" w:eastAsia="Times New Roman" w:hAnsi="Times New Roman" w:cs="Times New Roman"/>
        </w:rPr>
        <w:t>this imperative, leading retailers</w:t>
      </w:r>
      <w:proofErr w:type="gramEnd"/>
      <w:r>
        <w:rPr>
          <w:rFonts w:ascii="Times New Roman" w:eastAsia="Times New Roman" w:hAnsi="Times New Roman" w:cs="Times New Roman"/>
        </w:rPr>
        <w:t xml:space="preserve"> including Walmart, Target, Patagonia, and IKEA have adopted key sustainability initiatives, sometimes in partnership with other members of the retailing ecosystem i</w:t>
      </w:r>
      <w:r>
        <w:rPr>
          <w:rFonts w:ascii="Times New Roman" w:eastAsia="Times New Roman" w:hAnsi="Times New Roman" w:cs="Times New Roman"/>
        </w:rPr>
        <w:t>ncluding platforms, suppliers, policymakers, and consumers. However, retailers regularly announce, modify, and even repeal sustainability efforts, reflecting the evolving and often challenging nature of implementing environmental commitments at scale. Mark</w:t>
      </w:r>
      <w:r>
        <w:rPr>
          <w:rFonts w:ascii="Times New Roman" w:eastAsia="Times New Roman" w:hAnsi="Times New Roman" w:cs="Times New Roman"/>
        </w:rPr>
        <w:t>eting scholarship in retailing can play a pivotal role in addressing these challenges and encouraging sustainable practices. By leveraging its deep understanding of consumer motivation and behavior, the marketing discipline is uniquely positioned to advoca</w:t>
      </w:r>
      <w:r>
        <w:rPr>
          <w:rFonts w:ascii="Times New Roman" w:eastAsia="Times New Roman" w:hAnsi="Times New Roman" w:cs="Times New Roman"/>
        </w:rPr>
        <w:t>te for the efficient use of natural resources, to promote conservation and regeneration, and to minimize pollution and waste.</w:t>
      </w:r>
    </w:p>
    <w:p w14:paraId="0000000B"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In this paper, we present a novel two-stage framework for examining the literature related to sustainable marketing. By synthesizi</w:t>
      </w:r>
      <w:r>
        <w:rPr>
          <w:rFonts w:ascii="Times New Roman" w:eastAsia="Times New Roman" w:hAnsi="Times New Roman" w:cs="Times New Roman"/>
        </w:rPr>
        <w:t>ng insights from representative articles and case studies from relevant disciplines, we provide a fresh perspective on the field's accomplishments in defining environmentally sustainable decision-making among consumers, businesses, governments, and other s</w:t>
      </w:r>
      <w:r>
        <w:rPr>
          <w:rFonts w:ascii="Times New Roman" w:eastAsia="Times New Roman" w:hAnsi="Times New Roman" w:cs="Times New Roman"/>
        </w:rPr>
        <w:t>takeholders. Our proposed two-stage framework integrates key concepts and theories, highlighting marketing's unique role in addressing global challenges related to the stewardship of natural resources. Crucially, it serves as a foundation for identifying r</w:t>
      </w:r>
      <w:r>
        <w:rPr>
          <w:rFonts w:ascii="Times New Roman" w:eastAsia="Times New Roman" w:hAnsi="Times New Roman" w:cs="Times New Roman"/>
        </w:rPr>
        <w:t xml:space="preserve">esearch gaps and new opportunities. Rather than being exhaustive, this illustrative review offers a roadmap for </w:t>
      </w:r>
      <w:r>
        <w:rPr>
          <w:rFonts w:ascii="Times New Roman" w:eastAsia="Times New Roman" w:hAnsi="Times New Roman" w:cs="Times New Roman"/>
        </w:rPr>
        <w:lastRenderedPageBreak/>
        <w:t>conducting meaningful and impactful research. Ultimately, this article aims to shape the future of sustainable marketing research and practice b</w:t>
      </w:r>
      <w:r>
        <w:rPr>
          <w:rFonts w:ascii="Times New Roman" w:eastAsia="Times New Roman" w:hAnsi="Times New Roman" w:cs="Times New Roman"/>
        </w:rPr>
        <w:t>y providing a structured approach to analyzing existing research and promising avenues for future inquiry.</w:t>
      </w:r>
    </w:p>
    <w:p w14:paraId="0000000C" w14:textId="77777777" w:rsidR="00AB4CD0" w:rsidRDefault="004C12C0">
      <w:pPr>
        <w:spacing w:before="120" w:line="480" w:lineRule="auto"/>
        <w:rPr>
          <w:rFonts w:ascii="Times New Roman" w:eastAsia="Times New Roman" w:hAnsi="Times New Roman" w:cs="Times New Roman"/>
          <w:i/>
          <w:iCs/>
        </w:rPr>
      </w:pPr>
      <w:r>
        <w:rPr>
          <w:rFonts w:ascii="Times New Roman" w:eastAsia="Times New Roman" w:hAnsi="Times New Roman" w:cs="Times New Roman"/>
          <w:i/>
          <w:iCs/>
        </w:rPr>
        <w:t>1.1. Defining environmental sustainability</w:t>
      </w:r>
    </w:p>
    <w:p w14:paraId="0000000D" w14:textId="77777777" w:rsidR="00AB4CD0" w:rsidRDefault="004C12C0">
      <w:pP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We adopt the United Nations’ definition of sustainability and related terms. Consistent</w:t>
      </w:r>
      <w:r>
        <w:rPr>
          <w:rFonts w:ascii="Times New Roman" w:eastAsia="Times New Roman" w:hAnsi="Times New Roman" w:cs="Times New Roman"/>
          <w:highlight w:val="white"/>
        </w:rPr>
        <w:t xml:space="preserve"> with our article’s aim, we focus on environmentally sustainable consumption and production. Specifically, we focus on the UN’s Sustainable Development Goal 12 (SDG 12), which aims to ensure responsible patterns of consumption and production. For example, </w:t>
      </w:r>
      <w:r>
        <w:rPr>
          <w:rFonts w:ascii="Times New Roman" w:eastAsia="Times New Roman" w:hAnsi="Times New Roman" w:cs="Times New Roman"/>
          <w:highlight w:val="white"/>
        </w:rPr>
        <w:t xml:space="preserve">one of the targets under SDG 12 (specifically, target 12.6) is to “encourage companies, especially large and transnational companies, to adopt sustainable practices and to integrate sustainability information into their reporting cycle.” SDG 12 focuses on </w:t>
      </w:r>
      <w:r>
        <w:rPr>
          <w:rFonts w:ascii="Times New Roman" w:eastAsia="Times New Roman" w:hAnsi="Times New Roman" w:cs="Times New Roman"/>
          <w:highlight w:val="white"/>
        </w:rPr>
        <w:t xml:space="preserve">reducing waste, promoting resource efficiency, and encouraging sustainable practices across production and consumption cycles—all of which are central to modern retail operations. Achieving SDG 12 requires collaboration among various stakeholders to solve </w:t>
      </w:r>
      <w:r>
        <w:rPr>
          <w:rFonts w:ascii="Times New Roman" w:eastAsia="Times New Roman" w:hAnsi="Times New Roman" w:cs="Times New Roman"/>
          <w:highlight w:val="white"/>
        </w:rPr>
        <w:t>this “tragedy of the commons” (Ostrom 1999) and protect the environmental system on which human life and the retail system rely. Retailers can partner with suppliers, consumers, and other businesses to create a more sustainable value chain and promote resp</w:t>
      </w:r>
      <w:r>
        <w:rPr>
          <w:rFonts w:ascii="Times New Roman" w:eastAsia="Times New Roman" w:hAnsi="Times New Roman" w:cs="Times New Roman"/>
          <w:highlight w:val="white"/>
        </w:rPr>
        <w:t xml:space="preserve">onsible consumption and production by shaping supply chains, sourcing practices, product design, and waste management (e.g., </w:t>
      </w:r>
      <w:proofErr w:type="spellStart"/>
      <w:r>
        <w:rPr>
          <w:rFonts w:ascii="Times New Roman" w:eastAsia="Times New Roman" w:hAnsi="Times New Roman" w:cs="Times New Roman"/>
          <w:highlight w:val="white"/>
        </w:rPr>
        <w:t>Vadakkepatt</w:t>
      </w:r>
      <w:proofErr w:type="spellEnd"/>
      <w:r>
        <w:rPr>
          <w:rFonts w:ascii="Times New Roman" w:eastAsia="Times New Roman" w:hAnsi="Times New Roman" w:cs="Times New Roman"/>
          <w:highlight w:val="white"/>
        </w:rPr>
        <w:t xml:space="preserve"> et al. 2021).</w:t>
      </w:r>
    </w:p>
    <w:p w14:paraId="0000000E" w14:textId="77777777" w:rsidR="00AB4CD0" w:rsidRDefault="004C12C0">
      <w:pP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However, it is unclear how to operationalize and best achieve goals enshrined in SDG 12. </w:t>
      </w:r>
      <w:r>
        <w:rPr>
          <w:rFonts w:ascii="Times New Roman" w:eastAsia="Times New Roman" w:hAnsi="Times New Roman" w:cs="Times New Roman"/>
        </w:rPr>
        <w:t>First, how do we</w:t>
      </w:r>
      <w:r>
        <w:rPr>
          <w:rFonts w:ascii="Times New Roman" w:eastAsia="Times New Roman" w:hAnsi="Times New Roman" w:cs="Times New Roman"/>
        </w:rPr>
        <w:t xml:space="preserve"> move from the broader, abstract concept of sustainability to the feasible and effective strategies that will help achieve sustainability? Second, what roles do different actors play?</w:t>
      </w:r>
    </w:p>
    <w:p w14:paraId="0000000F" w14:textId="77777777" w:rsidR="00AB4CD0" w:rsidRDefault="004C12C0">
      <w:pP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The parties responsible for sustainability can be classified into indivi</w:t>
      </w:r>
      <w:r>
        <w:rPr>
          <w:rFonts w:ascii="Times New Roman" w:eastAsia="Times New Roman" w:hAnsi="Times New Roman" w:cs="Times New Roman"/>
          <w:highlight w:val="white"/>
        </w:rPr>
        <w:t>duals, communities, businesses, and governments. Sections 2–7 describe how these actors interact in efforts to achieve a sustainable state. Users of our definition and framework can identify responsible actors, their dynamic interactions in the retail ecos</w:t>
      </w:r>
      <w:r>
        <w:rPr>
          <w:rFonts w:ascii="Times New Roman" w:eastAsia="Times New Roman" w:hAnsi="Times New Roman" w:cs="Times New Roman"/>
          <w:highlight w:val="white"/>
        </w:rPr>
        <w:t>ystem, and their potential role in transitioning to a more sustainable state.</w:t>
      </w:r>
    </w:p>
    <w:p w14:paraId="00000010" w14:textId="77777777" w:rsidR="00AB4CD0" w:rsidRDefault="004C12C0">
      <w:pP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t>The concept of sustainability is inherently multi-faceted, encompassing environmental, social, and economic dimensions (</w:t>
      </w:r>
      <w:proofErr w:type="spellStart"/>
      <w:r>
        <w:rPr>
          <w:rFonts w:ascii="Times New Roman" w:eastAsia="Times New Roman" w:hAnsi="Times New Roman" w:cs="Times New Roman"/>
        </w:rPr>
        <w:t>Vadakkepatt</w:t>
      </w:r>
      <w:proofErr w:type="spellEnd"/>
      <w:r>
        <w:rPr>
          <w:rFonts w:ascii="Times New Roman" w:eastAsia="Times New Roman" w:hAnsi="Times New Roman" w:cs="Times New Roman"/>
        </w:rPr>
        <w:t xml:space="preserve"> et al., 2021). We focus on the environmental dimension, and refer to sustainable consumption as “actions that result in decr</w:t>
      </w:r>
      <w:r>
        <w:rPr>
          <w:rFonts w:ascii="Times New Roman" w:eastAsia="Times New Roman" w:hAnsi="Times New Roman" w:cs="Times New Roman"/>
        </w:rPr>
        <w:t>eases in adverse environmental impacts and reduced use of natural resources across the product or service lifecycle” (White, Habib, &amp; Hardisty 2019, p. 24).</w:t>
      </w:r>
    </w:p>
    <w:p w14:paraId="00000011" w14:textId="77777777" w:rsidR="00AB4CD0" w:rsidRDefault="004C12C0">
      <w:pP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Most research on sustainable consumption focuses on whether an intervention reduces overall consump</w:t>
      </w:r>
      <w:r>
        <w:rPr>
          <w:rFonts w:ascii="Times New Roman" w:eastAsia="Times New Roman" w:hAnsi="Times New Roman" w:cs="Times New Roman"/>
          <w:highlight w:val="white"/>
        </w:rPr>
        <w:t xml:space="preserve">tion (e.g., Delmas et al. 2013; </w:t>
      </w:r>
      <w:proofErr w:type="spellStart"/>
      <w:r>
        <w:rPr>
          <w:rFonts w:ascii="Times New Roman" w:eastAsia="Times New Roman" w:hAnsi="Times New Roman" w:cs="Times New Roman"/>
          <w:highlight w:val="white"/>
        </w:rPr>
        <w:t>Tiefenbeck</w:t>
      </w:r>
      <w:proofErr w:type="spellEnd"/>
      <w:r>
        <w:rPr>
          <w:rFonts w:ascii="Times New Roman" w:eastAsia="Times New Roman" w:hAnsi="Times New Roman" w:cs="Times New Roman"/>
          <w:highlight w:val="white"/>
        </w:rPr>
        <w:t xml:space="preserve"> et al. 2018) or enables adoption of more eco-friendly alternatives (</w:t>
      </w:r>
      <w:r>
        <w:rPr>
          <w:rFonts w:ascii="Times New Roman" w:eastAsia="Times New Roman" w:hAnsi="Times New Roman" w:cs="Times New Roman"/>
        </w:rPr>
        <w:t xml:space="preserve">Jansson, </w:t>
      </w:r>
      <w:proofErr w:type="spellStart"/>
      <w:r>
        <w:rPr>
          <w:rFonts w:ascii="Times New Roman" w:eastAsia="Times New Roman" w:hAnsi="Times New Roman" w:cs="Times New Roman"/>
        </w:rPr>
        <w:t>Marell</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Nordlund</w:t>
      </w:r>
      <w:proofErr w:type="spellEnd"/>
      <w:r>
        <w:rPr>
          <w:rFonts w:ascii="Times New Roman" w:eastAsia="Times New Roman" w:hAnsi="Times New Roman" w:cs="Times New Roman"/>
        </w:rPr>
        <w:t xml:space="preserve"> 2010; </w:t>
      </w:r>
      <w:r>
        <w:rPr>
          <w:rFonts w:ascii="Times New Roman" w:eastAsia="Times New Roman" w:hAnsi="Times New Roman" w:cs="Times New Roman"/>
          <w:highlight w:val="white"/>
        </w:rPr>
        <w:t xml:space="preserve">Kumari, Verma, </w:t>
      </w:r>
      <w:proofErr w:type="spellStart"/>
      <w:r>
        <w:rPr>
          <w:rFonts w:ascii="Times New Roman" w:eastAsia="Times New Roman" w:hAnsi="Times New Roman" w:cs="Times New Roman"/>
          <w:highlight w:val="white"/>
        </w:rPr>
        <w:t>Debata</w:t>
      </w:r>
      <w:proofErr w:type="spellEnd"/>
      <w:r>
        <w:rPr>
          <w:rFonts w:ascii="Times New Roman" w:eastAsia="Times New Roman" w:hAnsi="Times New Roman" w:cs="Times New Roman"/>
          <w:highlight w:val="white"/>
        </w:rPr>
        <w:t>, and Ting 2022). Likewise, most consumer studies focus on relative behaviors (i.e., con</w:t>
      </w:r>
      <w:r>
        <w:rPr>
          <w:rFonts w:ascii="Times New Roman" w:eastAsia="Times New Roman" w:hAnsi="Times New Roman" w:cs="Times New Roman"/>
          <w:highlight w:val="white"/>
        </w:rPr>
        <w:t>sumption levels before and after treatment) rather than evaluating absolute impact levels.</w:t>
      </w:r>
    </w:p>
    <w:p w14:paraId="00000012" w14:textId="77777777" w:rsidR="00AB4CD0" w:rsidRDefault="004C12C0">
      <w:pP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complement of sustainable consumption is sustainable production. A production pattern is considered sustainable if the processes and materials used to manufactur</w:t>
      </w:r>
      <w:r>
        <w:rPr>
          <w:rFonts w:ascii="Times New Roman" w:eastAsia="Times New Roman" w:hAnsi="Times New Roman" w:cs="Times New Roman"/>
          <w:highlight w:val="white"/>
        </w:rPr>
        <w:t>e a product or deliver a service are circular, use less energy, emit substantially less waste or pollution than conventional production, and are regenerative.</w:t>
      </w:r>
      <w:r>
        <w:rPr>
          <w:rFonts w:ascii="Times New Roman" w:eastAsia="Times New Roman" w:hAnsi="Times New Roman" w:cs="Times New Roman"/>
          <w:highlight w:val="white"/>
          <w:vertAlign w:val="superscript"/>
        </w:rPr>
        <w:footnoteReference w:id="1"/>
      </w:r>
      <w:r>
        <w:rPr>
          <w:rFonts w:ascii="Times New Roman" w:eastAsia="Times New Roman" w:hAnsi="Times New Roman" w:cs="Times New Roman"/>
          <w:highlight w:val="white"/>
        </w:rPr>
        <w:t xml:space="preserve"> Firms can set science-based sustainability targets for reducing carbon emissions</w:t>
      </w:r>
      <w:r>
        <w:rPr>
          <w:rFonts w:ascii="Times New Roman" w:eastAsia="Times New Roman" w:hAnsi="Times New Roman" w:cs="Times New Roman"/>
          <w:highlight w:val="white"/>
          <w:vertAlign w:val="superscript"/>
        </w:rPr>
        <w:footnoteReference w:id="2"/>
      </w:r>
      <w:r>
        <w:rPr>
          <w:rFonts w:ascii="Times New Roman" w:eastAsia="Times New Roman" w:hAnsi="Times New Roman" w:cs="Times New Roman"/>
          <w:highlight w:val="white"/>
        </w:rPr>
        <w:t xml:space="preserve"> and directly m</w:t>
      </w:r>
      <w:r>
        <w:rPr>
          <w:rFonts w:ascii="Times New Roman" w:eastAsia="Times New Roman" w:hAnsi="Times New Roman" w:cs="Times New Roman"/>
          <w:highlight w:val="white"/>
        </w:rPr>
        <w:t xml:space="preserve">easure whether the materials or products they deliver are circular—that is, reused, remanufactured, repurposed, and/or recycled. Sustainable production </w:t>
      </w:r>
      <w:r>
        <w:rPr>
          <w:rFonts w:ascii="Times New Roman" w:eastAsia="Times New Roman" w:hAnsi="Times New Roman" w:cs="Times New Roman"/>
          <w:highlight w:val="white"/>
        </w:rPr>
        <w:lastRenderedPageBreak/>
        <w:t xml:space="preserve">implies avoiding overproduction or </w:t>
      </w:r>
      <w:proofErr w:type="spellStart"/>
      <w:r>
        <w:rPr>
          <w:rFonts w:ascii="Times New Roman" w:eastAsia="Times New Roman" w:hAnsi="Times New Roman" w:cs="Times New Roman"/>
          <w:highlight w:val="white"/>
        </w:rPr>
        <w:t>overprocessing</w:t>
      </w:r>
      <w:proofErr w:type="spellEnd"/>
      <w:r>
        <w:rPr>
          <w:rFonts w:ascii="Times New Roman" w:eastAsia="Times New Roman" w:hAnsi="Times New Roman" w:cs="Times New Roman"/>
          <w:highlight w:val="white"/>
        </w:rPr>
        <w:t xml:space="preserve">. This means that demand drives supply and production, </w:t>
      </w:r>
      <w:r>
        <w:rPr>
          <w:rFonts w:ascii="Times New Roman" w:eastAsia="Times New Roman" w:hAnsi="Times New Roman" w:cs="Times New Roman"/>
          <w:highlight w:val="white"/>
        </w:rPr>
        <w:t xml:space="preserve">but again, there is little guidance for being a sustainable or responsible producer. </w:t>
      </w:r>
    </w:p>
    <w:p w14:paraId="00000013" w14:textId="77777777" w:rsidR="00AB4CD0" w:rsidRDefault="004C12C0">
      <w:pPr>
        <w:numPr>
          <w:ilvl w:val="0"/>
          <w:numId w:val="2"/>
        </w:numPr>
        <w:pBdr>
          <w:top w:val="nil"/>
          <w:left w:val="nil"/>
          <w:bottom w:val="nil"/>
          <w:right w:val="nil"/>
          <w:between w:val="nil"/>
        </w:pBdr>
        <w:spacing w:before="120" w:line="480" w:lineRule="auto"/>
        <w:rPr>
          <w:rFonts w:ascii="Times New Roman" w:eastAsia="Times New Roman" w:hAnsi="Times New Roman" w:cs="Times New Roman"/>
          <w:color w:val="000000"/>
          <w:highlight w:val="white"/>
        </w:rPr>
      </w:pPr>
      <w:r>
        <w:rPr>
          <w:rFonts w:ascii="Times New Roman" w:eastAsia="Times New Roman" w:hAnsi="Times New Roman" w:cs="Times New Roman"/>
          <w:b/>
          <w:bCs/>
          <w:color w:val="000000"/>
        </w:rPr>
        <w:t xml:space="preserve">Framework </w:t>
      </w:r>
    </w:p>
    <w:p w14:paraId="00000014"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Retailers occupy a unique position as both facilitators of consumption and gatekeepers of production standards. Through their decisions on product assortments,</w:t>
      </w:r>
      <w:r>
        <w:rPr>
          <w:rFonts w:ascii="Times New Roman" w:eastAsia="Times New Roman" w:hAnsi="Times New Roman" w:cs="Times New Roman"/>
        </w:rPr>
        <w:t xml:space="preserve"> private-label sourcing, promotional strategies, and sustainability certifications, they influence both upstream suppliers and downstream consumer behavior. At the same time, retail platforms shape sustainable choices via algorithmic product visibility, de</w:t>
      </w:r>
      <w:r>
        <w:rPr>
          <w:rFonts w:ascii="Times New Roman" w:eastAsia="Times New Roman" w:hAnsi="Times New Roman" w:cs="Times New Roman"/>
        </w:rPr>
        <w:t xml:space="preserve">fault options, and nudges, while intermediaries and logistics providers affect the environmental footprint through packaging, warehousing, and last-mile delivery. Consumers respond to these structures but also exert pressure on retail systems and on other </w:t>
      </w:r>
      <w:r>
        <w:rPr>
          <w:rFonts w:ascii="Times New Roman" w:eastAsia="Times New Roman" w:hAnsi="Times New Roman" w:cs="Times New Roman"/>
        </w:rPr>
        <w:t>consumers through their preferences, activism, and willingness to engage in alternative consumption models such as resale or repair.</w:t>
      </w:r>
    </w:p>
    <w:p w14:paraId="00000015"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Given their central role across the product lifecycle, retail actors are implicated in both the sustainability problem and </w:t>
      </w:r>
      <w:r>
        <w:rPr>
          <w:rFonts w:ascii="Times New Roman" w:eastAsia="Times New Roman" w:hAnsi="Times New Roman" w:cs="Times New Roman"/>
        </w:rPr>
        <w:t>the solution space (</w:t>
      </w:r>
      <w:proofErr w:type="spellStart"/>
      <w:r>
        <w:rPr>
          <w:rFonts w:ascii="Times New Roman" w:eastAsia="Times New Roman" w:hAnsi="Times New Roman" w:cs="Times New Roman"/>
        </w:rPr>
        <w:t>Vadakkepatt</w:t>
      </w:r>
      <w:proofErr w:type="spellEnd"/>
      <w:r>
        <w:rPr>
          <w:rFonts w:ascii="Times New Roman" w:eastAsia="Times New Roman" w:hAnsi="Times New Roman" w:cs="Times New Roman"/>
        </w:rPr>
        <w:t xml:space="preserve"> et al. 2021). Many unsustainable practices—including overproduction, excessive returns, fast fashion, and resource-intensive fulfillment—are embedded in retail operations. Yet these same actors also hold significant potentia</w:t>
      </w:r>
      <w:r>
        <w:rPr>
          <w:rFonts w:ascii="Times New Roman" w:eastAsia="Times New Roman" w:hAnsi="Times New Roman" w:cs="Times New Roman"/>
        </w:rPr>
        <w:t>l to drive change, whether by shifting supply chain expectations, reconfiguring the consumer choice architecture, or enabling circular models. For example, Do Vale, Collin-</w:t>
      </w:r>
      <w:proofErr w:type="spellStart"/>
      <w:r>
        <w:rPr>
          <w:rFonts w:ascii="Times New Roman" w:eastAsia="Times New Roman" w:hAnsi="Times New Roman" w:cs="Times New Roman"/>
        </w:rPr>
        <w:t>Lachaud</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Lecocq</w:t>
      </w:r>
      <w:proofErr w:type="spellEnd"/>
      <w:r>
        <w:rPr>
          <w:rFonts w:ascii="Times New Roman" w:eastAsia="Times New Roman" w:hAnsi="Times New Roman" w:cs="Times New Roman"/>
        </w:rPr>
        <w:t xml:space="preserve"> (2025) demonstrate how sustainable business model innovation in </w:t>
      </w:r>
      <w:r>
        <w:rPr>
          <w:rFonts w:ascii="Times New Roman" w:eastAsia="Times New Roman" w:hAnsi="Times New Roman" w:cs="Times New Roman"/>
        </w:rPr>
        <w:t>retailing involves restructuring the ecosystem through the effective management of relationships with both traditional and emerging stakeholders. Through this transformative process, retailers assume new roles within the ecosystem, increasingly functioning</w:t>
      </w:r>
      <w:r>
        <w:rPr>
          <w:rFonts w:ascii="Times New Roman" w:eastAsia="Times New Roman" w:hAnsi="Times New Roman" w:cs="Times New Roman"/>
        </w:rPr>
        <w:t xml:space="preserve"> as local hubs for circularity. A deeper understanding of, and collaboration with, the various actors in the broader retail ecosystem can </w:t>
      </w:r>
      <w:r>
        <w:rPr>
          <w:rFonts w:ascii="Times New Roman" w:eastAsia="Times New Roman" w:hAnsi="Times New Roman" w:cs="Times New Roman"/>
        </w:rPr>
        <w:lastRenderedPageBreak/>
        <w:t xml:space="preserve">enable retailers to develop more responsible strategies that are not only efficient from a business model perspective </w:t>
      </w:r>
      <w:r>
        <w:rPr>
          <w:rFonts w:ascii="Times New Roman" w:eastAsia="Times New Roman" w:hAnsi="Times New Roman" w:cs="Times New Roman"/>
        </w:rPr>
        <w:t>but also beneficial to consumers and society as a whole (</w:t>
      </w:r>
      <w:proofErr w:type="spellStart"/>
      <w:r>
        <w:rPr>
          <w:rFonts w:ascii="Times New Roman" w:eastAsia="Times New Roman" w:hAnsi="Times New Roman" w:cs="Times New Roman"/>
        </w:rPr>
        <w:t>Holtrop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Lobschat</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Braak</w:t>
      </w:r>
      <w:proofErr w:type="spellEnd"/>
      <w:r>
        <w:rPr>
          <w:rFonts w:ascii="Times New Roman" w:eastAsia="Times New Roman" w:hAnsi="Times New Roman" w:cs="Times New Roman"/>
        </w:rPr>
        <w:t xml:space="preserve"> 2025).</w:t>
      </w:r>
    </w:p>
    <w:p w14:paraId="00000016"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We propose a two-stage decision-making framework that can be readily applied to the retail ecosystem, helping to classify the source and target of sustainability </w:t>
      </w:r>
      <w:r>
        <w:rPr>
          <w:rFonts w:ascii="Times New Roman" w:eastAsia="Times New Roman" w:hAnsi="Times New Roman" w:cs="Times New Roman"/>
        </w:rPr>
        <w:t>interventions across these actors, and to evaluate the interventions’ feasibility and impact. Mapping existing interventions by these dimensions allows actors to identify effective ways to influence a chosen target. It also enables researchers or actors to</w:t>
      </w:r>
      <w:r>
        <w:rPr>
          <w:rFonts w:ascii="Times New Roman" w:eastAsia="Times New Roman" w:hAnsi="Times New Roman" w:cs="Times New Roman"/>
        </w:rPr>
        <w:t xml:space="preserve"> identify gaps and learn from other actors how to potentially increase impact or feasibility to contribute towards SDG 12. Thus, retail emerges not only as a context in which sustainability plays out, but as a domain where coordinated interactions can deli</w:t>
      </w:r>
      <w:r>
        <w:rPr>
          <w:rFonts w:ascii="Times New Roman" w:eastAsia="Times New Roman" w:hAnsi="Times New Roman" w:cs="Times New Roman"/>
        </w:rPr>
        <w:t>ver transformative change.</w:t>
      </w:r>
    </w:p>
    <w:p w14:paraId="00000017"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Prior marketing scholarship has proposed frameworks to induce sustainability in </w:t>
      </w:r>
      <w:r>
        <w:rPr>
          <w:rFonts w:ascii="Times New Roman" w:eastAsia="Times New Roman" w:hAnsi="Times New Roman" w:cs="Times New Roman"/>
          <w:i/>
          <w:iCs/>
        </w:rPr>
        <w:t>consumers’</w:t>
      </w:r>
      <w:r>
        <w:rPr>
          <w:rFonts w:ascii="Times New Roman" w:eastAsia="Times New Roman" w:hAnsi="Times New Roman" w:cs="Times New Roman"/>
        </w:rPr>
        <w:t xml:space="preserve"> behavior (e.g., Peattie and Peattie 2009; </w:t>
      </w:r>
      <w:r>
        <w:rPr>
          <w:rFonts w:ascii="Times New Roman" w:eastAsia="Times New Roman" w:hAnsi="Times New Roman" w:cs="Times New Roman"/>
          <w:highlight w:val="white"/>
        </w:rPr>
        <w:t>White, Habib, &amp; Hardisty</w:t>
      </w:r>
      <w:r>
        <w:rPr>
          <w:rFonts w:ascii="Times New Roman" w:eastAsia="Times New Roman" w:hAnsi="Times New Roman" w:cs="Times New Roman"/>
        </w:rPr>
        <w:t xml:space="preserve"> 2019). While these prior frameworks are useful, their exclusive focus o</w:t>
      </w:r>
      <w:r>
        <w:rPr>
          <w:rFonts w:ascii="Times New Roman" w:eastAsia="Times New Roman" w:hAnsi="Times New Roman" w:cs="Times New Roman"/>
        </w:rPr>
        <w:t>n consumers limit their application. We address this limitation by considering a more comprehensive set of stakeholders (1) who can influence consumers and (2) whose behaviors also need to be changed to achieve sustainable production and consumption. These</w:t>
      </w:r>
      <w:r>
        <w:rPr>
          <w:rFonts w:ascii="Times New Roman" w:eastAsia="Times New Roman" w:hAnsi="Times New Roman" w:cs="Times New Roman"/>
        </w:rPr>
        <w:t xml:space="preserve"> stakeholders include individuals and collectives composed of individuals (i.e., labor unions, community groups), industries/sectors, retailers, manufacturers, platforms, industry associations, institutional investors, and government agencies. Table 1 belo</w:t>
      </w:r>
      <w:r>
        <w:rPr>
          <w:rFonts w:ascii="Times New Roman" w:eastAsia="Times New Roman" w:hAnsi="Times New Roman" w:cs="Times New Roman"/>
        </w:rPr>
        <w:t>w outlines key retail stakeholders, their primary roles, and illustrative examples.</w:t>
      </w:r>
    </w:p>
    <w:p w14:paraId="00000018"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dynamics represented by our framework are especially salient in retail contexts, where a diverse set of actors—including retailers, shoppers, digital platforms, interme</w:t>
      </w:r>
      <w:r>
        <w:rPr>
          <w:rFonts w:ascii="Times New Roman" w:eastAsia="Times New Roman" w:hAnsi="Times New Roman" w:cs="Times New Roman"/>
        </w:rPr>
        <w:t xml:space="preserve">diaries, and supply chain partners—interact to bring products to market. The interactions between these </w:t>
      </w:r>
    </w:p>
    <w:p w14:paraId="00000019" w14:textId="77777777" w:rsidR="00AB4CD0" w:rsidRDefault="00AB4CD0">
      <w:pPr>
        <w:spacing w:before="120" w:line="480" w:lineRule="auto"/>
        <w:ind w:firstLine="720"/>
        <w:jc w:val="both"/>
        <w:rPr>
          <w:rFonts w:ascii="Times New Roman" w:eastAsia="Times New Roman" w:hAnsi="Times New Roman" w:cs="Times New Roman"/>
        </w:rPr>
      </w:pPr>
    </w:p>
    <w:p w14:paraId="0000001A" w14:textId="77777777" w:rsidR="00AB4CD0" w:rsidRDefault="004C12C0">
      <w:pPr>
        <w:pStyle w:val="Heading3"/>
        <w:keepNext w:val="0"/>
        <w:keepLines w:val="0"/>
        <w:spacing w:line="479" w:lineRule="auto"/>
        <w:jc w:val="center"/>
        <w:rPr>
          <w:rFonts w:ascii="Times New Roman" w:eastAsia="Times New Roman" w:hAnsi="Times New Roman" w:cs="Times New Roman"/>
        </w:rPr>
      </w:pPr>
      <w:bookmarkStart w:id="1" w:name="_heading=h.psy1u6bshg7f" w:colFirst="0" w:colLast="0"/>
      <w:bookmarkEnd w:id="1"/>
      <w:r>
        <w:rPr>
          <w:rFonts w:ascii="Times New Roman" w:eastAsia="Times New Roman" w:hAnsi="Times New Roman" w:cs="Times New Roman"/>
          <w:b/>
          <w:bCs/>
          <w:color w:val="000000"/>
          <w:sz w:val="24"/>
          <w:szCs w:val="24"/>
        </w:rPr>
        <w:t>Table 1: Retail Actors, Roles, and Examples</w:t>
      </w:r>
    </w:p>
    <w:tbl>
      <w:tblPr>
        <w:tblStyle w:val="af6"/>
        <w:tblW w:w="9360" w:type="dxa"/>
        <w:tblBorders>
          <w:top w:val="nil"/>
          <w:left w:val="nil"/>
          <w:bottom w:val="nil"/>
          <w:right w:val="nil"/>
          <w:insideH w:val="nil"/>
          <w:insideV w:val="nil"/>
        </w:tblBorders>
        <w:tblLayout w:type="fixed"/>
        <w:tblLook w:val="0600" w:firstRow="0" w:lastRow="0" w:firstColumn="0" w:lastColumn="0" w:noHBand="1" w:noVBand="1"/>
      </w:tblPr>
      <w:tblGrid>
        <w:gridCol w:w="2205"/>
        <w:gridCol w:w="3450"/>
        <w:gridCol w:w="3705"/>
      </w:tblGrid>
      <w:tr w:rsidR="00AB4CD0" w14:paraId="64F22693" w14:textId="77777777">
        <w:trPr>
          <w:trHeight w:val="285"/>
        </w:trPr>
        <w:tc>
          <w:tcPr>
            <w:tcW w:w="2205" w:type="dxa"/>
            <w:tcBorders>
              <w:top w:val="single" w:sz="6" w:space="0" w:color="000000"/>
              <w:left w:val="nil"/>
              <w:bottom w:val="single" w:sz="6" w:space="0" w:color="000000"/>
              <w:right w:val="nil"/>
            </w:tcBorders>
            <w:shd w:val="clear" w:color="auto" w:fill="F2F2F2"/>
            <w:tcMar>
              <w:top w:w="0" w:type="dxa"/>
              <w:left w:w="100" w:type="dxa"/>
              <w:bottom w:w="0" w:type="dxa"/>
              <w:right w:w="100" w:type="dxa"/>
            </w:tcMar>
          </w:tcPr>
          <w:p w14:paraId="0000001B" w14:textId="77777777" w:rsidR="00AB4CD0" w:rsidRDefault="004C12C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Actors</w:t>
            </w:r>
          </w:p>
        </w:tc>
        <w:tc>
          <w:tcPr>
            <w:tcW w:w="3450" w:type="dxa"/>
            <w:tcBorders>
              <w:top w:val="single" w:sz="6" w:space="0" w:color="000000"/>
              <w:left w:val="nil"/>
              <w:bottom w:val="single" w:sz="6" w:space="0" w:color="000000"/>
              <w:right w:val="nil"/>
            </w:tcBorders>
            <w:shd w:val="clear" w:color="auto" w:fill="F2F2F2"/>
            <w:tcMar>
              <w:top w:w="0" w:type="dxa"/>
              <w:left w:w="100" w:type="dxa"/>
              <w:bottom w:w="0" w:type="dxa"/>
              <w:right w:w="100" w:type="dxa"/>
            </w:tcMar>
          </w:tcPr>
          <w:p w14:paraId="0000001C" w14:textId="77777777" w:rsidR="00AB4CD0" w:rsidRDefault="004C12C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Primary Role</w:t>
            </w:r>
          </w:p>
        </w:tc>
        <w:tc>
          <w:tcPr>
            <w:tcW w:w="3705" w:type="dxa"/>
            <w:tcBorders>
              <w:top w:val="single" w:sz="6" w:space="0" w:color="000000"/>
              <w:left w:val="nil"/>
              <w:bottom w:val="single" w:sz="6" w:space="0" w:color="000000"/>
              <w:right w:val="nil"/>
            </w:tcBorders>
            <w:shd w:val="clear" w:color="auto" w:fill="F2F2F2"/>
            <w:tcMar>
              <w:top w:w="0" w:type="dxa"/>
              <w:left w:w="100" w:type="dxa"/>
              <w:bottom w:w="0" w:type="dxa"/>
              <w:right w:w="100" w:type="dxa"/>
            </w:tcMar>
          </w:tcPr>
          <w:p w14:paraId="0000001D" w14:textId="77777777" w:rsidR="00AB4CD0" w:rsidRDefault="004C12C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Illustrative Examples</w:t>
            </w:r>
          </w:p>
        </w:tc>
      </w:tr>
      <w:tr w:rsidR="00AB4CD0" w14:paraId="38BEC113" w14:textId="77777777">
        <w:trPr>
          <w:trHeight w:val="739"/>
        </w:trPr>
        <w:tc>
          <w:tcPr>
            <w:tcW w:w="2205" w:type="dxa"/>
            <w:tcBorders>
              <w:top w:val="nil"/>
              <w:left w:val="nil"/>
              <w:bottom w:val="nil"/>
              <w:right w:val="nil"/>
            </w:tcBorders>
            <w:shd w:val="clear" w:color="auto" w:fill="F2F2F2"/>
            <w:tcMar>
              <w:top w:w="0" w:type="dxa"/>
              <w:left w:w="100" w:type="dxa"/>
              <w:bottom w:w="0" w:type="dxa"/>
              <w:right w:w="100" w:type="dxa"/>
            </w:tcMar>
          </w:tcPr>
          <w:p w14:paraId="0000001E"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Retailers</w:t>
            </w:r>
          </w:p>
        </w:tc>
        <w:tc>
          <w:tcPr>
            <w:tcW w:w="3450" w:type="dxa"/>
            <w:tcBorders>
              <w:top w:val="nil"/>
              <w:left w:val="nil"/>
              <w:bottom w:val="nil"/>
              <w:right w:val="nil"/>
            </w:tcBorders>
            <w:tcMar>
              <w:top w:w="0" w:type="dxa"/>
              <w:left w:w="100" w:type="dxa"/>
              <w:bottom w:w="0" w:type="dxa"/>
              <w:right w:w="100" w:type="dxa"/>
            </w:tcMar>
          </w:tcPr>
          <w:p w14:paraId="0000001F"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Offer products or services for sale to shoppers via physical stores or online channels.</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20"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Walmart, Nike, Zara, Lush, Target, H&amp;M, Tesco, IKEA, Patagonia, Sephora, Best Buy.</w:t>
            </w:r>
          </w:p>
        </w:tc>
      </w:tr>
      <w:tr w:rsidR="00AB4CD0" w14:paraId="0901D06B" w14:textId="77777777">
        <w:trPr>
          <w:trHeight w:val="694"/>
        </w:trPr>
        <w:tc>
          <w:tcPr>
            <w:tcW w:w="2205" w:type="dxa"/>
            <w:tcBorders>
              <w:top w:val="nil"/>
              <w:left w:val="nil"/>
              <w:bottom w:val="nil"/>
              <w:right w:val="nil"/>
            </w:tcBorders>
            <w:shd w:val="clear" w:color="auto" w:fill="F2F2F2"/>
            <w:tcMar>
              <w:top w:w="0" w:type="dxa"/>
              <w:left w:w="100" w:type="dxa"/>
              <w:bottom w:w="0" w:type="dxa"/>
              <w:right w:w="100" w:type="dxa"/>
            </w:tcMar>
          </w:tcPr>
          <w:p w14:paraId="00000021"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Shoppers </w:t>
            </w:r>
            <w:r>
              <w:rPr>
                <w:rFonts w:ascii="Times New Roman" w:eastAsia="Times New Roman" w:hAnsi="Times New Roman" w:cs="Times New Roman"/>
                <w:b/>
                <w:bCs/>
                <w:sz w:val="20"/>
                <w:szCs w:val="20"/>
              </w:rPr>
              <w:br/>
              <w:t>(Consumers)</w:t>
            </w:r>
          </w:p>
        </w:tc>
        <w:tc>
          <w:tcPr>
            <w:tcW w:w="3450" w:type="dxa"/>
            <w:tcBorders>
              <w:top w:val="nil"/>
              <w:left w:val="nil"/>
              <w:bottom w:val="nil"/>
              <w:right w:val="nil"/>
            </w:tcBorders>
            <w:shd w:val="clear" w:color="auto" w:fill="F2F2F2"/>
            <w:tcMar>
              <w:top w:w="0" w:type="dxa"/>
              <w:left w:w="100" w:type="dxa"/>
              <w:bottom w:w="0" w:type="dxa"/>
              <w:right w:w="100" w:type="dxa"/>
            </w:tcMar>
          </w:tcPr>
          <w:p w14:paraId="00000022"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Evaluate, select, and purchase goods or services for personal or household use.</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23"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Amazon.com consumers, mall shoppers, grocery store customers, individuals participating in the Buy Nothing Project.</w:t>
            </w:r>
          </w:p>
        </w:tc>
      </w:tr>
      <w:tr w:rsidR="00AB4CD0" w14:paraId="25A55C89" w14:textId="77777777">
        <w:trPr>
          <w:trHeight w:val="1444"/>
        </w:trPr>
        <w:tc>
          <w:tcPr>
            <w:tcW w:w="2205" w:type="dxa"/>
            <w:tcBorders>
              <w:top w:val="nil"/>
              <w:left w:val="nil"/>
              <w:bottom w:val="nil"/>
              <w:right w:val="nil"/>
            </w:tcBorders>
            <w:shd w:val="clear" w:color="auto" w:fill="F2F2F2"/>
            <w:tcMar>
              <w:top w:w="0" w:type="dxa"/>
              <w:left w:w="100" w:type="dxa"/>
              <w:bottom w:w="0" w:type="dxa"/>
              <w:right w:w="100" w:type="dxa"/>
            </w:tcMar>
          </w:tcPr>
          <w:p w14:paraId="00000024"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(Digital) Platforms</w:t>
            </w:r>
          </w:p>
        </w:tc>
        <w:tc>
          <w:tcPr>
            <w:tcW w:w="3450" w:type="dxa"/>
            <w:tcBorders>
              <w:top w:val="nil"/>
              <w:left w:val="nil"/>
              <w:bottom w:val="nil"/>
              <w:right w:val="nil"/>
            </w:tcBorders>
            <w:tcMar>
              <w:top w:w="0" w:type="dxa"/>
              <w:left w:w="100" w:type="dxa"/>
              <w:bottom w:w="0" w:type="dxa"/>
              <w:right w:w="100" w:type="dxa"/>
            </w:tcMar>
          </w:tcPr>
          <w:p w14:paraId="00000025"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Provide marketplace or infrastructure (</w:t>
            </w:r>
            <w:r>
              <w:rPr>
                <w:rFonts w:ascii="Times New Roman" w:eastAsia="Times New Roman" w:hAnsi="Times New Roman" w:cs="Times New Roman"/>
                <w:sz w:val="20"/>
                <w:szCs w:val="20"/>
              </w:rPr>
              <w:t>online or offline) that connects retailers and shoppers. Includes e-commerce platforms, marketplace platforms, delivery service providers.</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26"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E-commerce Marketplaces:</w:t>
            </w:r>
            <w:r>
              <w:rPr>
                <w:rFonts w:ascii="Times New Roman" w:eastAsia="Times New Roman" w:hAnsi="Times New Roman" w:cs="Times New Roman"/>
                <w:sz w:val="20"/>
                <w:szCs w:val="20"/>
              </w:rPr>
              <w:t xml:space="preserve"> Amazon Marketplace, eBay, Etsy, Alibaba, </w:t>
            </w:r>
            <w:proofErr w:type="spellStart"/>
            <w:r>
              <w:rPr>
                <w:rFonts w:ascii="Times New Roman" w:eastAsia="Times New Roman" w:hAnsi="Times New Roman" w:cs="Times New Roman"/>
                <w:sz w:val="20"/>
                <w:szCs w:val="20"/>
              </w:rPr>
              <w:t>Tmall</w:t>
            </w:r>
            <w:proofErr w:type="spellEnd"/>
            <w:r>
              <w:rPr>
                <w:rFonts w:ascii="Times New Roman" w:eastAsia="Times New Roman" w:hAnsi="Times New Roman" w:cs="Times New Roman"/>
                <w:sz w:val="20"/>
                <w:szCs w:val="20"/>
              </w:rPr>
              <w:t xml:space="preserve">, Rakuten, </w:t>
            </w:r>
            <w:proofErr w:type="spellStart"/>
            <w:r>
              <w:rPr>
                <w:rFonts w:ascii="Times New Roman" w:eastAsia="Times New Roman" w:hAnsi="Times New Roman" w:cs="Times New Roman"/>
                <w:sz w:val="20"/>
                <w:szCs w:val="20"/>
              </w:rPr>
              <w:t>Zalando</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SaaS E-commerce Platforms:</w:t>
            </w:r>
            <w:r>
              <w:rPr>
                <w:rFonts w:ascii="Times New Roman" w:eastAsia="Times New Roman" w:hAnsi="Times New Roman" w:cs="Times New Roman"/>
                <w:sz w:val="20"/>
                <w:szCs w:val="20"/>
              </w:rPr>
              <w:t xml:space="preserve"> Shopify, BigCommerce; </w:t>
            </w:r>
            <w:r>
              <w:rPr>
                <w:rFonts w:ascii="Times New Roman" w:eastAsia="Times New Roman" w:hAnsi="Times New Roman" w:cs="Times New Roman"/>
                <w:i/>
                <w:iCs/>
                <w:sz w:val="20"/>
                <w:szCs w:val="20"/>
              </w:rPr>
              <w:t>Food Delivery:</w:t>
            </w:r>
            <w:r>
              <w:rPr>
                <w:rFonts w:ascii="Times New Roman" w:eastAsia="Times New Roman" w:hAnsi="Times New Roman" w:cs="Times New Roman"/>
                <w:sz w:val="20"/>
                <w:szCs w:val="20"/>
              </w:rPr>
              <w:t xml:space="preserve"> Uber Eats, Zomato; </w:t>
            </w:r>
            <w:r>
              <w:rPr>
                <w:rFonts w:ascii="Times New Roman" w:eastAsia="Times New Roman" w:hAnsi="Times New Roman" w:cs="Times New Roman"/>
                <w:i/>
                <w:iCs/>
                <w:sz w:val="20"/>
                <w:szCs w:val="20"/>
              </w:rPr>
              <w:t>Booking Platforms:</w:t>
            </w:r>
            <w:r>
              <w:rPr>
                <w:rFonts w:ascii="Times New Roman" w:eastAsia="Times New Roman" w:hAnsi="Times New Roman" w:cs="Times New Roman"/>
                <w:sz w:val="20"/>
                <w:szCs w:val="20"/>
              </w:rPr>
              <w:t xml:space="preserve"> Booking.com, Expedia.</w:t>
            </w:r>
          </w:p>
        </w:tc>
      </w:tr>
      <w:tr w:rsidR="00AB4CD0" w14:paraId="53DBA812" w14:textId="77777777">
        <w:trPr>
          <w:trHeight w:val="705"/>
        </w:trPr>
        <w:tc>
          <w:tcPr>
            <w:tcW w:w="2205" w:type="dxa"/>
            <w:tcBorders>
              <w:top w:val="nil"/>
              <w:left w:val="nil"/>
              <w:bottom w:val="nil"/>
              <w:right w:val="nil"/>
            </w:tcBorders>
            <w:shd w:val="clear" w:color="auto" w:fill="F2F2F2"/>
            <w:tcMar>
              <w:top w:w="0" w:type="dxa"/>
              <w:left w:w="100" w:type="dxa"/>
              <w:bottom w:w="0" w:type="dxa"/>
              <w:right w:w="100" w:type="dxa"/>
            </w:tcMar>
          </w:tcPr>
          <w:p w14:paraId="00000027"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Manufacturers /</w:t>
            </w:r>
          </w:p>
          <w:p w14:paraId="00000028"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Suppliers /</w:t>
            </w:r>
          </w:p>
          <w:p w14:paraId="00000029"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Wholesalers</w:t>
            </w:r>
          </w:p>
        </w:tc>
        <w:tc>
          <w:tcPr>
            <w:tcW w:w="3450" w:type="dxa"/>
            <w:tcBorders>
              <w:top w:val="nil"/>
              <w:left w:val="nil"/>
              <w:bottom w:val="nil"/>
              <w:right w:val="nil"/>
            </w:tcBorders>
            <w:shd w:val="clear" w:color="auto" w:fill="F2F2F2"/>
            <w:tcMar>
              <w:top w:w="0" w:type="dxa"/>
              <w:left w:w="100" w:type="dxa"/>
              <w:bottom w:w="0" w:type="dxa"/>
              <w:right w:w="100" w:type="dxa"/>
            </w:tcMar>
          </w:tcPr>
          <w:p w14:paraId="0000002A"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Produce, source, or distribute products, supplying inventory to retailers. Includes manufacturing firms.</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2B"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Procter &amp; Gamble (P&amp;G), Unilever, Nestlé, Samsung, Intel, Foxconn, Sysco, Li &amp; Fung.</w:t>
            </w:r>
          </w:p>
        </w:tc>
      </w:tr>
      <w:tr w:rsidR="00AB4CD0" w14:paraId="2CCB8C23" w14:textId="77777777">
        <w:trPr>
          <w:trHeight w:val="1215"/>
        </w:trPr>
        <w:tc>
          <w:tcPr>
            <w:tcW w:w="2205" w:type="dxa"/>
            <w:tcBorders>
              <w:top w:val="nil"/>
              <w:left w:val="nil"/>
              <w:bottom w:val="nil"/>
              <w:right w:val="nil"/>
            </w:tcBorders>
            <w:shd w:val="clear" w:color="auto" w:fill="F2F2F2"/>
            <w:tcMar>
              <w:top w:w="0" w:type="dxa"/>
              <w:left w:w="100" w:type="dxa"/>
              <w:bottom w:w="0" w:type="dxa"/>
              <w:right w:w="100" w:type="dxa"/>
            </w:tcMar>
          </w:tcPr>
          <w:p w14:paraId="0000002C"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Regulators /</w:t>
            </w:r>
          </w:p>
          <w:p w14:paraId="0000002D"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Government </w:t>
            </w:r>
            <w:r>
              <w:rPr>
                <w:rFonts w:ascii="Times New Roman" w:eastAsia="Times New Roman" w:hAnsi="Times New Roman" w:cs="Times New Roman"/>
                <w:b/>
                <w:bCs/>
                <w:sz w:val="20"/>
                <w:szCs w:val="20"/>
              </w:rPr>
              <w:br/>
              <w:t xml:space="preserve">Agencies / </w:t>
            </w:r>
          </w:p>
          <w:p w14:paraId="0000002E"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Intergovernmental </w:t>
            </w:r>
            <w:r>
              <w:rPr>
                <w:rFonts w:ascii="Times New Roman" w:eastAsia="Times New Roman" w:hAnsi="Times New Roman" w:cs="Times New Roman"/>
                <w:b/>
                <w:bCs/>
                <w:sz w:val="20"/>
                <w:szCs w:val="20"/>
              </w:rPr>
              <w:br/>
              <w:t>Agencies</w:t>
            </w:r>
          </w:p>
        </w:tc>
        <w:tc>
          <w:tcPr>
            <w:tcW w:w="3450" w:type="dxa"/>
            <w:tcBorders>
              <w:top w:val="nil"/>
              <w:left w:val="nil"/>
              <w:bottom w:val="nil"/>
              <w:right w:val="nil"/>
            </w:tcBorders>
            <w:tcMar>
              <w:top w:w="0" w:type="dxa"/>
              <w:left w:w="100" w:type="dxa"/>
              <w:bottom w:w="0" w:type="dxa"/>
              <w:right w:w="100" w:type="dxa"/>
            </w:tcMar>
          </w:tcPr>
          <w:p w14:paraId="0000002F"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Establish and enforce legal, safety, and sustainability standards that shape retail practices.</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30"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U.S. Federal Trade Commission (FTC), U.S. Food and Drug Administration (FDA), European Commission, State Administration for Market Regulation (SAMR - China), EPA, CPSC.</w:t>
            </w:r>
          </w:p>
        </w:tc>
      </w:tr>
      <w:tr w:rsidR="00AB4CD0" w14:paraId="17CBED24" w14:textId="77777777">
        <w:trPr>
          <w:trHeight w:val="979"/>
        </w:trPr>
        <w:tc>
          <w:tcPr>
            <w:tcW w:w="2205" w:type="dxa"/>
            <w:tcBorders>
              <w:top w:val="nil"/>
              <w:left w:val="nil"/>
              <w:bottom w:val="nil"/>
              <w:right w:val="nil"/>
            </w:tcBorders>
            <w:shd w:val="clear" w:color="auto" w:fill="F2F2F2"/>
            <w:tcMar>
              <w:top w:w="0" w:type="dxa"/>
              <w:left w:w="100" w:type="dxa"/>
              <w:bottom w:w="0" w:type="dxa"/>
              <w:right w:w="100" w:type="dxa"/>
            </w:tcMar>
          </w:tcPr>
          <w:p w14:paraId="00000031"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Real-estate Companies</w:t>
            </w:r>
          </w:p>
        </w:tc>
        <w:tc>
          <w:tcPr>
            <w:tcW w:w="3450" w:type="dxa"/>
            <w:tcBorders>
              <w:top w:val="nil"/>
              <w:left w:val="nil"/>
              <w:bottom w:val="nil"/>
              <w:right w:val="nil"/>
            </w:tcBorders>
            <w:shd w:val="clear" w:color="auto" w:fill="F2F2F2"/>
            <w:tcMar>
              <w:top w:w="0" w:type="dxa"/>
              <w:left w:w="100" w:type="dxa"/>
              <w:bottom w:w="0" w:type="dxa"/>
              <w:right w:w="100" w:type="dxa"/>
            </w:tcMar>
          </w:tcPr>
          <w:p w14:paraId="00000032"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Develop, own, lease, and manage physical properties used for retail stores, shopping malls, distribution centers.</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33"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Simon Property Group, Prologis, Wanda Group, CapitaLand, Westfield, Brookfield Properties.</w:t>
            </w:r>
          </w:p>
        </w:tc>
      </w:tr>
      <w:tr w:rsidR="00AB4CD0" w14:paraId="05552A11" w14:textId="77777777">
        <w:trPr>
          <w:trHeight w:val="1050"/>
        </w:trPr>
        <w:tc>
          <w:tcPr>
            <w:tcW w:w="2205" w:type="dxa"/>
            <w:tcBorders>
              <w:top w:val="nil"/>
              <w:left w:val="nil"/>
              <w:bottom w:val="nil"/>
              <w:right w:val="nil"/>
            </w:tcBorders>
            <w:shd w:val="clear" w:color="auto" w:fill="F2F2F2"/>
            <w:tcMar>
              <w:top w:w="0" w:type="dxa"/>
              <w:left w:w="100" w:type="dxa"/>
              <w:bottom w:w="0" w:type="dxa"/>
              <w:right w:w="100" w:type="dxa"/>
            </w:tcMar>
          </w:tcPr>
          <w:p w14:paraId="00000034"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Retail Associations</w:t>
            </w:r>
          </w:p>
        </w:tc>
        <w:tc>
          <w:tcPr>
            <w:tcW w:w="3450" w:type="dxa"/>
            <w:tcBorders>
              <w:top w:val="nil"/>
              <w:left w:val="nil"/>
              <w:bottom w:val="nil"/>
              <w:right w:val="nil"/>
            </w:tcBorders>
            <w:tcMar>
              <w:top w:w="0" w:type="dxa"/>
              <w:left w:w="100" w:type="dxa"/>
              <w:bottom w:w="0" w:type="dxa"/>
              <w:right w:w="100" w:type="dxa"/>
            </w:tcMar>
          </w:tcPr>
          <w:p w14:paraId="00000035"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Advocate for the retail industry on policy issues, provide research and data, offer educational programs, and facilitate collaboration.</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36"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National Retail Federation (NRF - US), British Retail Consortium (BRC - UK), </w:t>
            </w:r>
            <w:proofErr w:type="spellStart"/>
            <w:r>
              <w:rPr>
                <w:rFonts w:ascii="Times New Roman" w:eastAsia="Times New Roman" w:hAnsi="Times New Roman" w:cs="Times New Roman"/>
                <w:sz w:val="20"/>
                <w:szCs w:val="20"/>
              </w:rPr>
              <w:t>EuroCommerce</w:t>
            </w:r>
            <w:proofErr w:type="spellEnd"/>
            <w:r>
              <w:rPr>
                <w:rFonts w:ascii="Times New Roman" w:eastAsia="Times New Roman" w:hAnsi="Times New Roman" w:cs="Times New Roman"/>
                <w:sz w:val="20"/>
                <w:szCs w:val="20"/>
              </w:rPr>
              <w:t xml:space="preserve"> (EU), China Chain-Store &amp; Franchise Association (CCFA).</w:t>
            </w:r>
          </w:p>
        </w:tc>
      </w:tr>
      <w:tr w:rsidR="00AB4CD0" w14:paraId="2F3B7331" w14:textId="77777777">
        <w:trPr>
          <w:trHeight w:val="1185"/>
        </w:trPr>
        <w:tc>
          <w:tcPr>
            <w:tcW w:w="2205" w:type="dxa"/>
            <w:tcBorders>
              <w:top w:val="nil"/>
              <w:left w:val="nil"/>
              <w:bottom w:val="nil"/>
              <w:right w:val="nil"/>
            </w:tcBorders>
            <w:shd w:val="clear" w:color="auto" w:fill="F2F2F2"/>
            <w:tcMar>
              <w:top w:w="0" w:type="dxa"/>
              <w:left w:w="100" w:type="dxa"/>
              <w:bottom w:w="0" w:type="dxa"/>
              <w:right w:w="100" w:type="dxa"/>
            </w:tcMar>
          </w:tcPr>
          <w:p w14:paraId="00000037"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NGOs /</w:t>
            </w:r>
          </w:p>
          <w:p w14:paraId="00000038"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Consumer Groups</w:t>
            </w:r>
          </w:p>
        </w:tc>
        <w:tc>
          <w:tcPr>
            <w:tcW w:w="3450" w:type="dxa"/>
            <w:tcBorders>
              <w:top w:val="nil"/>
              <w:left w:val="nil"/>
              <w:bottom w:val="nil"/>
              <w:right w:val="nil"/>
            </w:tcBorders>
            <w:shd w:val="clear" w:color="auto" w:fill="F2F2F2"/>
            <w:tcMar>
              <w:top w:w="0" w:type="dxa"/>
              <w:left w:w="100" w:type="dxa"/>
              <w:bottom w:w="0" w:type="dxa"/>
              <w:right w:w="100" w:type="dxa"/>
            </w:tcMar>
          </w:tcPr>
          <w:p w14:paraId="00000039"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Advocate for social/environmental causes, monitor retail practices, influence consumer</w:t>
            </w:r>
            <w:r>
              <w:rPr>
                <w:rFonts w:ascii="Times New Roman" w:eastAsia="Times New Roman" w:hAnsi="Times New Roman" w:cs="Times New Roman"/>
                <w:sz w:val="20"/>
                <w:szCs w:val="20"/>
              </w:rPr>
              <w:t>s, and collaborate with retailers.</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3A"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Greenpeace, World Wildlife Fund (WWF), Rainforest Alliance, Consumers International, Public Interest Research Group (PIRG), local consumer advocacy groups.</w:t>
            </w:r>
          </w:p>
        </w:tc>
      </w:tr>
      <w:tr w:rsidR="00AB4CD0" w14:paraId="16BEEE4D" w14:textId="77777777">
        <w:trPr>
          <w:trHeight w:val="730"/>
        </w:trPr>
        <w:tc>
          <w:tcPr>
            <w:tcW w:w="2205" w:type="dxa"/>
            <w:tcBorders>
              <w:top w:val="nil"/>
              <w:left w:val="nil"/>
              <w:bottom w:val="nil"/>
              <w:right w:val="nil"/>
            </w:tcBorders>
            <w:shd w:val="clear" w:color="auto" w:fill="F2F2F2"/>
            <w:tcMar>
              <w:top w:w="0" w:type="dxa"/>
              <w:left w:w="100" w:type="dxa"/>
              <w:bottom w:w="0" w:type="dxa"/>
              <w:right w:w="100" w:type="dxa"/>
            </w:tcMar>
          </w:tcPr>
          <w:p w14:paraId="0000003B"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Logistics / </w:t>
            </w:r>
            <w:r>
              <w:rPr>
                <w:rFonts w:ascii="Times New Roman" w:eastAsia="Times New Roman" w:hAnsi="Times New Roman" w:cs="Times New Roman"/>
                <w:b/>
                <w:bCs/>
                <w:sz w:val="20"/>
                <w:szCs w:val="20"/>
              </w:rPr>
              <w:br/>
              <w:t>Delivery Providers</w:t>
            </w:r>
          </w:p>
        </w:tc>
        <w:tc>
          <w:tcPr>
            <w:tcW w:w="3450" w:type="dxa"/>
            <w:tcBorders>
              <w:top w:val="nil"/>
              <w:left w:val="nil"/>
              <w:bottom w:val="nil"/>
              <w:right w:val="nil"/>
            </w:tcBorders>
            <w:tcMar>
              <w:top w:w="0" w:type="dxa"/>
              <w:left w:w="100" w:type="dxa"/>
              <w:bottom w:w="0" w:type="dxa"/>
              <w:right w:w="100" w:type="dxa"/>
            </w:tcMar>
          </w:tcPr>
          <w:p w14:paraId="0000003C"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Manage warehousing, transportation, and last-mile delivery of goods.</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3D"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UPS, DHL, FedEx, SF Express, JD Logistics, Maersk, C.H. Robinson, Kuehne + Nagel, Ryder.</w:t>
            </w:r>
          </w:p>
        </w:tc>
      </w:tr>
      <w:tr w:rsidR="00AB4CD0" w14:paraId="35C8CF19" w14:textId="77777777">
        <w:trPr>
          <w:trHeight w:val="585"/>
        </w:trPr>
        <w:tc>
          <w:tcPr>
            <w:tcW w:w="2205" w:type="dxa"/>
            <w:tcBorders>
              <w:top w:val="nil"/>
              <w:left w:val="nil"/>
              <w:bottom w:val="nil"/>
              <w:right w:val="nil"/>
            </w:tcBorders>
            <w:shd w:val="clear" w:color="auto" w:fill="F2F2F2"/>
            <w:tcMar>
              <w:top w:w="0" w:type="dxa"/>
              <w:left w:w="100" w:type="dxa"/>
              <w:bottom w:w="0" w:type="dxa"/>
              <w:right w:w="100" w:type="dxa"/>
            </w:tcMar>
          </w:tcPr>
          <w:p w14:paraId="0000003E"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Employees</w:t>
            </w:r>
          </w:p>
        </w:tc>
        <w:tc>
          <w:tcPr>
            <w:tcW w:w="3450" w:type="dxa"/>
            <w:tcBorders>
              <w:top w:val="nil"/>
              <w:left w:val="nil"/>
              <w:bottom w:val="nil"/>
              <w:right w:val="nil"/>
            </w:tcBorders>
            <w:shd w:val="clear" w:color="auto" w:fill="F2F2F2"/>
            <w:tcMar>
              <w:top w:w="0" w:type="dxa"/>
              <w:left w:w="100" w:type="dxa"/>
              <w:bottom w:w="0" w:type="dxa"/>
              <w:right w:w="100" w:type="dxa"/>
            </w:tcMar>
          </w:tcPr>
          <w:p w14:paraId="0000003F"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Influence both upstream (purchasing/sourcing) and downstream (customer consumption) practices, and Initiate retail-driven change toward sustainable production and consumption</w:t>
            </w:r>
          </w:p>
        </w:tc>
        <w:tc>
          <w:tcPr>
            <w:tcW w:w="3705" w:type="dxa"/>
            <w:tcBorders>
              <w:top w:val="nil"/>
              <w:left w:val="nil"/>
              <w:bottom w:val="nil"/>
              <w:right w:val="nil"/>
            </w:tcBorders>
            <w:shd w:val="clear" w:color="auto" w:fill="F2F2F2"/>
            <w:tcMar>
              <w:top w:w="0" w:type="dxa"/>
              <w:left w:w="100" w:type="dxa"/>
              <w:bottom w:w="0" w:type="dxa"/>
              <w:right w:w="100" w:type="dxa"/>
            </w:tcMar>
          </w:tcPr>
          <w:p w14:paraId="00000040"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Whole Foods or Patagonia Employees actively recommend certified products, explain</w:t>
            </w:r>
            <w:r>
              <w:rPr>
                <w:rFonts w:ascii="Times New Roman" w:eastAsia="Times New Roman" w:hAnsi="Times New Roman" w:cs="Times New Roman"/>
                <w:sz w:val="20"/>
                <w:szCs w:val="20"/>
              </w:rPr>
              <w:t xml:space="preserve"> their environmental benefits, and guide shoppers toward low-impact options.</w:t>
            </w:r>
          </w:p>
        </w:tc>
      </w:tr>
      <w:tr w:rsidR="00AB4CD0" w14:paraId="73BDC4BA" w14:textId="77777777">
        <w:trPr>
          <w:trHeight w:val="975"/>
        </w:trPr>
        <w:tc>
          <w:tcPr>
            <w:tcW w:w="2205" w:type="dxa"/>
            <w:tcBorders>
              <w:top w:val="nil"/>
              <w:left w:val="nil"/>
              <w:bottom w:val="single" w:sz="6" w:space="0" w:color="000000"/>
              <w:right w:val="nil"/>
            </w:tcBorders>
            <w:shd w:val="clear" w:color="auto" w:fill="F2F2F2"/>
            <w:tcMar>
              <w:top w:w="0" w:type="dxa"/>
              <w:left w:w="100" w:type="dxa"/>
              <w:bottom w:w="0" w:type="dxa"/>
              <w:right w:w="100" w:type="dxa"/>
            </w:tcMar>
          </w:tcPr>
          <w:p w14:paraId="00000041" w14:textId="77777777" w:rsidR="00AB4CD0" w:rsidRDefault="004C12C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Technology </w:t>
            </w:r>
            <w:r>
              <w:rPr>
                <w:rFonts w:ascii="Times New Roman" w:eastAsia="Times New Roman" w:hAnsi="Times New Roman" w:cs="Times New Roman"/>
                <w:b/>
                <w:bCs/>
                <w:sz w:val="20"/>
                <w:szCs w:val="20"/>
              </w:rPr>
              <w:br/>
              <w:t>Providers</w:t>
            </w:r>
          </w:p>
        </w:tc>
        <w:tc>
          <w:tcPr>
            <w:tcW w:w="3450" w:type="dxa"/>
            <w:tcBorders>
              <w:top w:val="nil"/>
              <w:left w:val="nil"/>
              <w:bottom w:val="single" w:sz="6" w:space="0" w:color="000000"/>
              <w:right w:val="nil"/>
            </w:tcBorders>
            <w:tcMar>
              <w:top w:w="0" w:type="dxa"/>
              <w:left w:w="100" w:type="dxa"/>
              <w:bottom w:w="0" w:type="dxa"/>
              <w:right w:w="100" w:type="dxa"/>
            </w:tcMar>
          </w:tcPr>
          <w:p w14:paraId="00000042"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Offer various technology solutions beyond payments (e.g., cloud, AI, analytics, CRM, ERP) supporting retail operations and initiatives.</w:t>
            </w:r>
          </w:p>
        </w:tc>
        <w:tc>
          <w:tcPr>
            <w:tcW w:w="3705" w:type="dxa"/>
            <w:tcBorders>
              <w:top w:val="nil"/>
              <w:left w:val="nil"/>
              <w:bottom w:val="single" w:sz="6" w:space="0" w:color="000000"/>
              <w:right w:val="nil"/>
            </w:tcBorders>
            <w:shd w:val="clear" w:color="auto" w:fill="F2F2F2"/>
            <w:tcMar>
              <w:top w:w="0" w:type="dxa"/>
              <w:left w:w="100" w:type="dxa"/>
              <w:bottom w:w="0" w:type="dxa"/>
              <w:right w:w="100" w:type="dxa"/>
            </w:tcMar>
          </w:tcPr>
          <w:p w14:paraId="00000043" w14:textId="77777777" w:rsidR="00AB4CD0" w:rsidRDefault="004C12C0">
            <w:pPr>
              <w:rPr>
                <w:rFonts w:ascii="Times New Roman" w:eastAsia="Times New Roman" w:hAnsi="Times New Roman" w:cs="Times New Roman"/>
                <w:sz w:val="20"/>
                <w:szCs w:val="20"/>
              </w:rPr>
            </w:pPr>
            <w:r>
              <w:rPr>
                <w:rFonts w:ascii="Times New Roman" w:eastAsia="Times New Roman" w:hAnsi="Times New Roman" w:cs="Times New Roman"/>
                <w:sz w:val="20"/>
                <w:szCs w:val="20"/>
              </w:rPr>
              <w:t>Microsoft, Salesforc</w:t>
            </w:r>
            <w:r>
              <w:rPr>
                <w:rFonts w:ascii="Times New Roman" w:eastAsia="Times New Roman" w:hAnsi="Times New Roman" w:cs="Times New Roman"/>
                <w:sz w:val="20"/>
                <w:szCs w:val="20"/>
              </w:rPr>
              <w:t>e, SAP, Google, Oracle, specialized analytics firms, AI personalization engines, supply chain visibility software providers.</w:t>
            </w:r>
          </w:p>
        </w:tc>
      </w:tr>
    </w:tbl>
    <w:p w14:paraId="00000044" w14:textId="77777777" w:rsidR="00AB4CD0" w:rsidRDefault="00AB4CD0">
      <w:pPr>
        <w:spacing w:before="120" w:line="480" w:lineRule="auto"/>
        <w:ind w:firstLine="720"/>
        <w:jc w:val="both"/>
        <w:rPr>
          <w:rFonts w:ascii="Times New Roman" w:eastAsia="Times New Roman" w:hAnsi="Times New Roman" w:cs="Times New Roman"/>
        </w:rPr>
      </w:pPr>
    </w:p>
    <w:p w14:paraId="00000045" w14:textId="77777777" w:rsidR="00AB4CD0" w:rsidRDefault="004C12C0">
      <w:pPr>
        <w:spacing w:before="12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stakeholders can be complex. Consider the following example involving sustainable apparel. From the bottom up, eco-conscious consumers are driving change by demanding products that are transparent about sourcing and environmental impact. Retailers may resp</w:t>
      </w:r>
      <w:r>
        <w:rPr>
          <w:rFonts w:ascii="Times New Roman" w:eastAsia="Times New Roman" w:hAnsi="Times New Roman" w:cs="Times New Roman"/>
        </w:rPr>
        <w:t xml:space="preserve">ond by promoting sustainable options and collaborating with sustainable brands. Manufacturers follow suit, adjusting their production and supply chains to meet expectations. Suppliers, in turn, invest in greener methods to remain competitive. From the top </w:t>
      </w:r>
      <w:r>
        <w:rPr>
          <w:rFonts w:ascii="Times New Roman" w:eastAsia="Times New Roman" w:hAnsi="Times New Roman" w:cs="Times New Roman"/>
        </w:rPr>
        <w:t>down, governments and regulatory agencies may introduce regulations or offer incentives for sustainable innovation (industry) or adoption (consumer). Ultimately, this interconnected network creates positive feedback loops, encouraging greater sustainabilit</w:t>
      </w:r>
      <w:r>
        <w:rPr>
          <w:rFonts w:ascii="Times New Roman" w:eastAsia="Times New Roman" w:hAnsi="Times New Roman" w:cs="Times New Roman"/>
        </w:rPr>
        <w:t>y across the industry. The example also demonstrates how each actor influences and is influenced by the others.</w:t>
      </w:r>
    </w:p>
    <w:p w14:paraId="00000046" w14:textId="77777777" w:rsidR="00AB4CD0" w:rsidRDefault="004C12C0">
      <w:pPr>
        <w:spacing w:line="480" w:lineRule="auto"/>
        <w:ind w:firstLine="700"/>
        <w:jc w:val="both"/>
        <w:rPr>
          <w:rFonts w:ascii="Times New Roman" w:eastAsia="Times New Roman" w:hAnsi="Times New Roman" w:cs="Times New Roman"/>
        </w:rPr>
      </w:pPr>
      <w:r>
        <w:rPr>
          <w:rFonts w:ascii="Times New Roman" w:eastAsia="Times New Roman" w:hAnsi="Times New Roman" w:cs="Times New Roman"/>
        </w:rPr>
        <w:t>Our broader focus is consistent with the marketing discipline’s ambition to contribute by influencing behaviors not only of consumers but also o</w:t>
      </w:r>
      <w:r>
        <w:rPr>
          <w:rFonts w:ascii="Times New Roman" w:eastAsia="Times New Roman" w:hAnsi="Times New Roman" w:cs="Times New Roman"/>
        </w:rPr>
        <w:t>f all stakeholders that matter to businesses and nonbusiness stakeholders in society (</w:t>
      </w:r>
      <w:proofErr w:type="spellStart"/>
      <w:r>
        <w:rPr>
          <w:rFonts w:ascii="Times New Roman" w:eastAsia="Times New Roman" w:hAnsi="Times New Roman" w:cs="Times New Roman"/>
        </w:rPr>
        <w:t>Chandy</w:t>
      </w:r>
      <w:proofErr w:type="spellEnd"/>
      <w:r>
        <w:rPr>
          <w:rFonts w:ascii="Times New Roman" w:eastAsia="Times New Roman" w:hAnsi="Times New Roman" w:cs="Times New Roman"/>
        </w:rPr>
        <w:t xml:space="preserve"> et al. 2021; Madan et al. 2023; Moorman 2024). We propose a two-stage framework that categorizes sustainability interventions according to the source and target (a</w:t>
      </w:r>
      <w:r>
        <w:rPr>
          <w:rFonts w:ascii="Times New Roman" w:eastAsia="Times New Roman" w:hAnsi="Times New Roman" w:cs="Times New Roman"/>
        </w:rPr>
        <w:t>nd whether each is a micro or macro actor), summarizes extant empirical evidence, and elicits questions for future research.</w:t>
      </w:r>
    </w:p>
    <w:p w14:paraId="00000047" w14:textId="77777777" w:rsidR="00AB4CD0" w:rsidRDefault="004C12C0">
      <w:pPr>
        <w:spacing w:before="120" w:after="120" w:line="480" w:lineRule="auto"/>
        <w:rPr>
          <w:rFonts w:ascii="Times New Roman" w:eastAsia="Times New Roman" w:hAnsi="Times New Roman" w:cs="Times New Roman"/>
          <w:i/>
          <w:iCs/>
        </w:rPr>
      </w:pPr>
      <w:r>
        <w:rPr>
          <w:rFonts w:ascii="Times New Roman" w:eastAsia="Times New Roman" w:hAnsi="Times New Roman" w:cs="Times New Roman"/>
          <w:i/>
          <w:iCs/>
        </w:rPr>
        <w:t>2.1. The first stage: Source-Target Classification</w:t>
      </w:r>
    </w:p>
    <w:p w14:paraId="00000048" w14:textId="77777777" w:rsidR="00AB4CD0" w:rsidRDefault="004C12C0">
      <w:pPr>
        <w:spacing w:line="480" w:lineRule="auto"/>
        <w:ind w:firstLine="720"/>
        <w:jc w:val="both"/>
        <w:rPr>
          <w:rFonts w:ascii="Times New Roman" w:eastAsia="Times New Roman" w:hAnsi="Times New Roman" w:cs="Times New Roman"/>
          <w:vertAlign w:val="superscript"/>
        </w:rPr>
      </w:pPr>
      <w:bookmarkStart w:id="2" w:name="_heading=h.gjdgxs" w:colFirst="0" w:colLast="0"/>
      <w:bookmarkEnd w:id="2"/>
      <w:r>
        <w:rPr>
          <w:rFonts w:ascii="Times New Roman" w:eastAsia="Times New Roman" w:hAnsi="Times New Roman" w:cs="Times New Roman"/>
        </w:rPr>
        <w:t>The notion of intervention suggests two parties: a source and a target. The sour</w:t>
      </w:r>
      <w:r>
        <w:rPr>
          <w:rFonts w:ascii="Times New Roman" w:eastAsia="Times New Roman" w:hAnsi="Times New Roman" w:cs="Times New Roman"/>
        </w:rPr>
        <w:t>ce (or the intervention initiator) is the actor that designs, implements, or sponsors an intervention aimed at changing sustainability-related behaviors of the target actor (or the intervention recipient). Sources actively deploy resources, messaging, ince</w:t>
      </w:r>
      <w:r>
        <w:rPr>
          <w:rFonts w:ascii="Times New Roman" w:eastAsia="Times New Roman" w:hAnsi="Times New Roman" w:cs="Times New Roman"/>
        </w:rPr>
        <w:t xml:space="preserve">ntives, or policies to influence target behavior. Targets are the focal decision-makers whose actions the intervention aims to modify. We can think of environmental sustainability interventions as persuasion attempts (e.g., Petty &amp; Cacioppo 1986; </w:t>
      </w:r>
      <w:r>
        <w:rPr>
          <w:rFonts w:ascii="Times New Roman" w:eastAsia="Times New Roman" w:hAnsi="Times New Roman" w:cs="Times New Roman"/>
        </w:rPr>
        <w:lastRenderedPageBreak/>
        <w:t>McGuire 2</w:t>
      </w:r>
      <w:r>
        <w:rPr>
          <w:rFonts w:ascii="Times New Roman" w:eastAsia="Times New Roman" w:hAnsi="Times New Roman" w:cs="Times New Roman"/>
        </w:rPr>
        <w:t>000), involving a source attempting to influence a target. Accordingly, the first stage of our framework includes two axes that answer the two questions: (1) Who attempts to initiate a behavioral change? (2) Whose behavior is attempted to be changed? Depen</w:t>
      </w:r>
      <w:r>
        <w:rPr>
          <w:rFonts w:ascii="Times New Roman" w:eastAsia="Times New Roman" w:hAnsi="Times New Roman" w:cs="Times New Roman"/>
        </w:rPr>
        <w:t>ding on the context, the same actor (e.g., a firm) can be either source or target.</w:t>
      </w:r>
      <w:r>
        <w:rPr>
          <w:rFonts w:ascii="Times New Roman" w:eastAsia="Times New Roman" w:hAnsi="Times New Roman" w:cs="Times New Roman"/>
          <w:vertAlign w:val="superscript"/>
        </w:rPr>
        <w:footnoteReference w:id="3"/>
      </w:r>
    </w:p>
    <w:p w14:paraId="00000049" w14:textId="77777777" w:rsidR="00AB4CD0" w:rsidRDefault="004C12C0">
      <w:pPr>
        <w:spacing w:before="120" w:after="120" w:line="480" w:lineRule="auto"/>
        <w:rPr>
          <w:rFonts w:ascii="Times New Roman" w:eastAsia="Times New Roman" w:hAnsi="Times New Roman" w:cs="Times New Roman"/>
          <w:i/>
          <w:iCs/>
        </w:rPr>
      </w:pPr>
      <w:r>
        <w:rPr>
          <w:rFonts w:ascii="Times New Roman" w:eastAsia="Times New Roman" w:hAnsi="Times New Roman" w:cs="Times New Roman"/>
          <w:i/>
          <w:iCs/>
        </w:rPr>
        <w:t>2.2. Micro-Macro Distinction</w:t>
      </w:r>
    </w:p>
    <w:p w14:paraId="0000004A" w14:textId="77777777" w:rsidR="00AB4CD0" w:rsidRDefault="004C12C0">
      <w:pPr>
        <w:spacing w:before="120" w:after="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We propose a scheme to classify retail actors based on (1) decision-making agency and (2) scope of influence. These dimensions matter because they shape the types of interventions available to an actor and the scale at which they can operate. Although thes</w:t>
      </w:r>
      <w:r>
        <w:rPr>
          <w:rFonts w:ascii="Times New Roman" w:eastAsia="Times New Roman" w:hAnsi="Times New Roman" w:cs="Times New Roman"/>
        </w:rPr>
        <w:t xml:space="preserve">e dimensions are clearly continuous measures, we categorize them into “micro” versus “macro” for ease of exposition. In other words, we use micro and macro labels to represent opposite ends of a continuum, rather than suggest that an actor is either micro </w:t>
      </w:r>
      <w:r>
        <w:rPr>
          <w:rFonts w:ascii="Times New Roman" w:eastAsia="Times New Roman" w:hAnsi="Times New Roman" w:cs="Times New Roman"/>
        </w:rPr>
        <w:t>or macro. Micro actors are decision-makers with limited agency and localized scope of influence. Examples include individual consumers, employees, and small business owners. By contrast, macro actors possess broader agency and broader scope of influence. E</w:t>
      </w:r>
      <w:r>
        <w:rPr>
          <w:rFonts w:ascii="Times New Roman" w:eastAsia="Times New Roman" w:hAnsi="Times New Roman" w:cs="Times New Roman"/>
        </w:rPr>
        <w:t xml:space="preserve">xamples include firms implementing enterprise-wide sustainability strategies, industry associations, government agencies, and international organizations. </w:t>
      </w:r>
      <w:r>
        <w:rPr>
          <w:rFonts w:ascii="Times New Roman" w:eastAsia="Times New Roman" w:hAnsi="Times New Roman" w:cs="Times New Roman"/>
          <w:color w:val="1F1F1F"/>
        </w:rPr>
        <w:t>Differences in agency and scope are, in turn, a function of a number of factors, including an actors’</w:t>
      </w:r>
      <w:r>
        <w:rPr>
          <w:rFonts w:ascii="Times New Roman" w:eastAsia="Times New Roman" w:hAnsi="Times New Roman" w:cs="Times New Roman"/>
          <w:color w:val="1F1F1F"/>
        </w:rPr>
        <w:t xml:space="preserve"> financial and managerial resources, organizational capacity, and political leverage. </w:t>
      </w:r>
      <w:r>
        <w:rPr>
          <w:rFonts w:ascii="Times New Roman" w:eastAsia="Times New Roman" w:hAnsi="Times New Roman" w:cs="Times New Roman"/>
        </w:rPr>
        <w:t>Three clarifications are in order. First, the micro-macro distinction is context dependent. Specifically, some organizations may alternate between micro and macro classif</w:t>
      </w:r>
      <w:r>
        <w:rPr>
          <w:rFonts w:ascii="Times New Roman" w:eastAsia="Times New Roman" w:hAnsi="Times New Roman" w:cs="Times New Roman"/>
        </w:rPr>
        <w:t xml:space="preserve">ications depending on their strategic position and influence (Fischer &amp; </w:t>
      </w:r>
      <w:proofErr w:type="spellStart"/>
      <w:r>
        <w:rPr>
          <w:rFonts w:ascii="Times New Roman" w:eastAsia="Times New Roman" w:hAnsi="Times New Roman" w:cs="Times New Roman"/>
        </w:rPr>
        <w:t>Newig</w:t>
      </w:r>
      <w:proofErr w:type="spellEnd"/>
      <w:r>
        <w:rPr>
          <w:rFonts w:ascii="Times New Roman" w:eastAsia="Times New Roman" w:hAnsi="Times New Roman" w:cs="Times New Roman"/>
        </w:rPr>
        <w:t xml:space="preserve"> 2016). Second, a limitation of the binary distinction proposed is that boundaries are not always clear-cut and may overlap in practice. For example, smaller NGOs and enterprises </w:t>
      </w:r>
      <w:r>
        <w:rPr>
          <w:rFonts w:ascii="Times New Roman" w:eastAsia="Times New Roman" w:hAnsi="Times New Roman" w:cs="Times New Roman"/>
        </w:rPr>
        <w:lastRenderedPageBreak/>
        <w:t>composed of a few individuals with limited resources and agency may operate as micro-level actors, whereas larger organizations operate as macro-level actors with substantial influence. Third, the distinction is made from a retail perspective rather than a</w:t>
      </w:r>
      <w:r>
        <w:rPr>
          <w:rFonts w:ascii="Times New Roman" w:eastAsia="Times New Roman" w:hAnsi="Times New Roman" w:cs="Times New Roman"/>
        </w:rPr>
        <w:t xml:space="preserve">n economics perspective, where a macroeconomist might classify a firm as micro and a country as macro. Therefore, our micro-macro distinction should be understood as a helpful heuristic rather than as a rigid classification. </w:t>
      </w:r>
    </w:p>
    <w:p w14:paraId="0000004B" w14:textId="77777777" w:rsidR="00AB4CD0" w:rsidRDefault="004C12C0">
      <w:pPr>
        <w:spacing w:before="120" w:after="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Classifying </w:t>
      </w:r>
      <w:r>
        <w:rPr>
          <w:rFonts w:ascii="Times New Roman" w:eastAsia="Times New Roman" w:hAnsi="Times New Roman" w:cs="Times New Roman"/>
          <w:i/>
          <w:iCs/>
        </w:rPr>
        <w:t xml:space="preserve">actors </w:t>
      </w:r>
      <w:r>
        <w:rPr>
          <w:rFonts w:ascii="Times New Roman" w:eastAsia="Times New Roman" w:hAnsi="Times New Roman" w:cs="Times New Roman"/>
        </w:rPr>
        <w:t>into (1) so</w:t>
      </w:r>
      <w:r>
        <w:rPr>
          <w:rFonts w:ascii="Times New Roman" w:eastAsia="Times New Roman" w:hAnsi="Times New Roman" w:cs="Times New Roman"/>
        </w:rPr>
        <w:t>urce versus target and (2) micro versus macro yields a four-quadrant matrix, as seen in Table 2. We start with simple examples for clarity, but the micro–macro distinction—based on decision-making capacity and scope of influence—remains central and becomes</w:t>
      </w:r>
      <w:r>
        <w:rPr>
          <w:rFonts w:ascii="Times New Roman" w:eastAsia="Times New Roman" w:hAnsi="Times New Roman" w:cs="Times New Roman"/>
        </w:rPr>
        <w:t xml:space="preserve"> clearer in complex interactions among stakeholders.</w:t>
      </w:r>
    </w:p>
    <w:p w14:paraId="0000004C" w14:textId="77777777" w:rsidR="00AB4CD0" w:rsidRDefault="004C12C0">
      <w:pPr>
        <w:spacing w:before="120" w:after="120" w:line="480" w:lineRule="auto"/>
        <w:ind w:firstLine="720"/>
        <w:jc w:val="both"/>
        <w:rPr>
          <w:rFonts w:ascii="Times New Roman" w:eastAsia="Times New Roman" w:hAnsi="Times New Roman" w:cs="Times New Roman"/>
        </w:rPr>
      </w:pPr>
      <w:sdt>
        <w:sdtPr>
          <w:tag w:val="goog_rdk_0"/>
          <w:id w:val="1273669290"/>
        </w:sdtPr>
        <w:sdtEndPr/>
        <w:sdtContent>
          <w:r>
            <w:rPr>
              <w:rFonts w:ascii="Cardo" w:eastAsia="Cardo" w:hAnsi="Cardo" w:cs="Cardo"/>
              <w:i/>
              <w:iCs/>
            </w:rPr>
            <w:t>Micro → Micro.</w:t>
          </w:r>
        </w:sdtContent>
      </w:sdt>
      <w:r>
        <w:rPr>
          <w:rFonts w:ascii="Times New Roman" w:eastAsia="Times New Roman" w:hAnsi="Times New Roman" w:cs="Times New Roman"/>
        </w:rPr>
        <w:t xml:space="preserve"> In the first quadrant, a consumer can influence another by engaging in such behaviors as word-of-mouth (e.g., Bollinger et al. 2022; Constantino et al. 2022). </w:t>
      </w:r>
    </w:p>
    <w:p w14:paraId="0000004D" w14:textId="77777777" w:rsidR="00AB4CD0" w:rsidRDefault="004C12C0">
      <w:pPr>
        <w:spacing w:before="120" w:after="120" w:line="480" w:lineRule="auto"/>
        <w:ind w:firstLine="720"/>
        <w:jc w:val="both"/>
        <w:rPr>
          <w:rFonts w:ascii="Times New Roman" w:eastAsia="Times New Roman" w:hAnsi="Times New Roman" w:cs="Times New Roman"/>
        </w:rPr>
      </w:pPr>
      <w:sdt>
        <w:sdtPr>
          <w:tag w:val="goog_rdk_1"/>
          <w:id w:val="-614820220"/>
        </w:sdtPr>
        <w:sdtEndPr/>
        <w:sdtContent>
          <w:r>
            <w:rPr>
              <w:rFonts w:ascii="Cardo" w:eastAsia="Cardo" w:hAnsi="Cardo" w:cs="Cardo"/>
              <w:i/>
              <w:iCs/>
            </w:rPr>
            <w:t>Macro → Micro.</w:t>
          </w:r>
        </w:sdtContent>
      </w:sdt>
      <w:r>
        <w:rPr>
          <w:rFonts w:ascii="Times New Roman" w:eastAsia="Times New Roman" w:hAnsi="Times New Roman" w:cs="Times New Roman"/>
        </w:rPr>
        <w:t xml:space="preserve"> In the second quadrant, a firm can design products or persuasive messages, enabling consumers to engage in pro-environmental behaviors (e.g., White, Hardisty, &amp; Habib 2019). Retailers have increasingly used on-shelf sustainability labels (e.g., carbon foo</w:t>
      </w:r>
      <w:r>
        <w:rPr>
          <w:rFonts w:ascii="Times New Roman" w:eastAsia="Times New Roman" w:hAnsi="Times New Roman" w:cs="Times New Roman"/>
        </w:rPr>
        <w:t>tprints, eco-ratings) to guide consumers toward environmentally preferable options. These interventions, often in the form of visual nudges at the point of purchase, exemplify how macro actors (retailers) can influence micro actors (shoppers) (e.g., Ungema</w:t>
      </w:r>
      <w:r>
        <w:rPr>
          <w:rFonts w:ascii="Times New Roman" w:eastAsia="Times New Roman" w:hAnsi="Times New Roman" w:cs="Times New Roman"/>
        </w:rPr>
        <w:t xml:space="preserve">ch et al. 2018). Similarly, governments can provide monetary or non-monetary incentives to consumers to stimulate demand for environmentally friendly products (e.g., He et al. 2021, 2023). </w:t>
      </w:r>
    </w:p>
    <w:p w14:paraId="0000004E" w14:textId="77777777" w:rsidR="00AB4CD0" w:rsidRDefault="004C12C0">
      <w:pPr>
        <w:spacing w:before="120" w:after="120" w:line="480" w:lineRule="auto"/>
        <w:ind w:firstLine="720"/>
        <w:jc w:val="both"/>
        <w:rPr>
          <w:rFonts w:ascii="Times New Roman" w:eastAsia="Times New Roman" w:hAnsi="Times New Roman" w:cs="Times New Roman"/>
        </w:rPr>
      </w:pPr>
      <w:sdt>
        <w:sdtPr>
          <w:tag w:val="goog_rdk_2"/>
          <w:id w:val="430626875"/>
        </w:sdtPr>
        <w:sdtEndPr/>
        <w:sdtContent>
          <w:r>
            <w:rPr>
              <w:rFonts w:ascii="Cardo" w:eastAsia="Cardo" w:hAnsi="Cardo" w:cs="Cardo"/>
              <w:i/>
              <w:iCs/>
            </w:rPr>
            <w:t>Micro → Macro.</w:t>
          </w:r>
        </w:sdtContent>
      </w:sdt>
      <w:r>
        <w:rPr>
          <w:rFonts w:ascii="Times New Roman" w:eastAsia="Times New Roman" w:hAnsi="Times New Roman" w:cs="Times New Roman"/>
        </w:rPr>
        <w:t xml:space="preserve"> In the third quadrant, through their numerous beh</w:t>
      </w:r>
      <w:r>
        <w:rPr>
          <w:rFonts w:ascii="Times New Roman" w:eastAsia="Times New Roman" w:hAnsi="Times New Roman" w:cs="Times New Roman"/>
        </w:rPr>
        <w:t xml:space="preserve">aviors (such as purchases, boycotts, and word-of-mouth), consumers may influence firm-level sustainability behaviors (e.g., </w:t>
      </w:r>
      <w:proofErr w:type="spellStart"/>
      <w:r>
        <w:rPr>
          <w:rFonts w:ascii="Times New Roman" w:eastAsia="Times New Roman" w:hAnsi="Times New Roman" w:cs="Times New Roman"/>
        </w:rPr>
        <w:t>Giannetti</w:t>
      </w:r>
      <w:proofErr w:type="spellEnd"/>
      <w:r>
        <w:rPr>
          <w:rFonts w:ascii="Times New Roman" w:eastAsia="Times New Roman" w:hAnsi="Times New Roman" w:cs="Times New Roman"/>
        </w:rPr>
        <w:t xml:space="preserve"> et al. 2019). Retailers are increasingly responsive to consumer pressure for sustainable </w:t>
      </w:r>
      <w:r>
        <w:rPr>
          <w:rFonts w:ascii="Times New Roman" w:eastAsia="Times New Roman" w:hAnsi="Times New Roman" w:cs="Times New Roman"/>
        </w:rPr>
        <w:lastRenderedPageBreak/>
        <w:t>options, with customer advocacy a</w:t>
      </w:r>
      <w:r>
        <w:rPr>
          <w:rFonts w:ascii="Times New Roman" w:eastAsia="Times New Roman" w:hAnsi="Times New Roman" w:cs="Times New Roman"/>
        </w:rPr>
        <w:t>nd purchasing data influencing assortment decisions and prompting the introduction of zero-waste products, refill stations, or plant-based alternatives.</w:t>
      </w:r>
    </w:p>
    <w:p w14:paraId="0000004F" w14:textId="77777777" w:rsidR="00AB4CD0" w:rsidRDefault="004C12C0">
      <w:pPr>
        <w:spacing w:before="120" w:after="120" w:line="480" w:lineRule="auto"/>
        <w:ind w:firstLine="720"/>
        <w:jc w:val="both"/>
        <w:rPr>
          <w:rFonts w:ascii="Times New Roman" w:eastAsia="Times New Roman" w:hAnsi="Times New Roman" w:cs="Times New Roman"/>
        </w:rPr>
      </w:pPr>
      <w:sdt>
        <w:sdtPr>
          <w:tag w:val="goog_rdk_3"/>
          <w:id w:val="1468860475"/>
        </w:sdtPr>
        <w:sdtEndPr/>
        <w:sdtContent>
          <w:r>
            <w:rPr>
              <w:rFonts w:ascii="Cardo" w:eastAsia="Cardo" w:hAnsi="Cardo" w:cs="Cardo"/>
              <w:i/>
              <w:iCs/>
            </w:rPr>
            <w:t>Macro → Macro.</w:t>
          </w:r>
        </w:sdtContent>
      </w:sdt>
      <w:sdt>
        <w:sdtPr>
          <w:tag w:val="goog_rdk_4"/>
          <w:id w:val="-1649586546"/>
        </w:sdtPr>
        <w:sdtEndPr/>
        <w:sdtContent>
          <w:r>
            <w:rPr>
              <w:rFonts w:ascii="Cardo" w:eastAsia="Cardo" w:hAnsi="Cardo" w:cs="Cardo"/>
            </w:rPr>
            <w:t xml:space="preserve"> In the fourth quadrant, a firm can influence another via market competition or industr</w:t>
          </w:r>
          <w:r>
            <w:rPr>
              <w:rFonts w:ascii="Cardo" w:eastAsia="Cardo" w:hAnsi="Cardo" w:cs="Cardo"/>
            </w:rPr>
            <w:t>y coalitions. Retailers also lead Macro → Macro interventions by setting sustainability standards for suppliers or forming partnerships to enable closed-loop supply chains. These practices reflect retail’s central role in enabling sustainable production by</w:t>
          </w:r>
          <w:r>
            <w:rPr>
              <w:rFonts w:ascii="Cardo" w:eastAsia="Cardo" w:hAnsi="Cardo" w:cs="Cardo"/>
            </w:rPr>
            <w:t xml:space="preserve"> driving innovation across the value chain. In addition, governments can introduce regulation to change an industry’s behavior (Macro → Macro) (e.g., Murali et al. 2019; </w:t>
          </w:r>
          <w:proofErr w:type="spellStart"/>
          <w:r>
            <w:rPr>
              <w:rFonts w:ascii="Cardo" w:eastAsia="Cardo" w:hAnsi="Cardo" w:cs="Cardo"/>
            </w:rPr>
            <w:t>Pickman</w:t>
          </w:r>
          <w:proofErr w:type="spellEnd"/>
          <w:r>
            <w:rPr>
              <w:rFonts w:ascii="Cardo" w:eastAsia="Cardo" w:hAnsi="Cardo" w:cs="Cardo"/>
            </w:rPr>
            <w:t xml:space="preserve"> 1998). Many countries have instituted Extended Producer Responsibility, requir</w:t>
          </w:r>
          <w:r>
            <w:rPr>
              <w:rFonts w:ascii="Cardo" w:eastAsia="Cardo" w:hAnsi="Cardo" w:cs="Cardo"/>
            </w:rPr>
            <w:t xml:space="preserve">ing firms—rather than municipalities—to bear the costs of recycling or appropriately disposing of their products (Brown et al. 2023). </w:t>
          </w:r>
        </w:sdtContent>
      </w:sdt>
    </w:p>
    <w:p w14:paraId="00000050" w14:textId="77777777" w:rsidR="00AB4CD0" w:rsidRDefault="004C12C0">
      <w:pPr>
        <w:spacing w:before="120" w:after="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Importantly, there is considerable heterogeneity regarding the roles, motivations and decisions for different actors in</w:t>
      </w:r>
      <w:r>
        <w:rPr>
          <w:rFonts w:ascii="Times New Roman" w:eastAsia="Times New Roman" w:hAnsi="Times New Roman" w:cs="Times New Roman"/>
        </w:rPr>
        <w:t xml:space="preserve"> the same quadrant, or for the same actors across different quadrants. It is a key feature of the framework that it can account for this diversity, illustrating how firms, platforms, policymakers, and other stakeholders can occupy different positions acros</w:t>
      </w:r>
      <w:r>
        <w:rPr>
          <w:rFonts w:ascii="Times New Roman" w:eastAsia="Times New Roman" w:hAnsi="Times New Roman" w:cs="Times New Roman"/>
        </w:rPr>
        <w:t>s quadrants depending on the focal relationship.</w:t>
      </w:r>
    </w:p>
    <w:p w14:paraId="00000051" w14:textId="77777777" w:rsidR="00AB4CD0" w:rsidRDefault="004C12C0">
      <w:pPr>
        <w:spacing w:before="120" w:after="120" w:line="480" w:lineRule="auto"/>
        <w:ind w:firstLine="720"/>
        <w:jc w:val="both"/>
        <w:rPr>
          <w:rFonts w:ascii="Times New Roman" w:eastAsia="Times New Roman" w:hAnsi="Times New Roman" w:cs="Times New Roman"/>
        </w:rPr>
      </w:pPr>
      <w:sdt>
        <w:sdtPr>
          <w:tag w:val="goog_rdk_5"/>
          <w:id w:val="301869378"/>
        </w:sdtPr>
        <w:sdtEndPr/>
        <w:sdtContent>
          <w:r>
            <w:rPr>
              <w:rFonts w:ascii="Cardo" w:eastAsia="Cardo" w:hAnsi="Cardo" w:cs="Cardo"/>
            </w:rPr>
            <w:t>The presented roles within these influence patterns may be multi-directional and can switch dynamically. The same actor may act as both source and target across different interventions and contexts. For exam</w:t>
          </w:r>
          <w:r>
            <w:rPr>
              <w:rFonts w:ascii="Cardo" w:eastAsia="Cardo" w:hAnsi="Cardo" w:cs="Cardo"/>
            </w:rPr>
            <w:t xml:space="preserve">ple, a retailer (macro) can be a source influencing consumers (micro) through sustainability messaging while simultaneously being a target for </w:t>
          </w:r>
          <w:r>
            <w:rPr>
              <w:rFonts w:ascii="Cardo" w:eastAsia="Cardo" w:hAnsi="Cardo" w:cs="Cardo"/>
            </w:rPr>
            <w:lastRenderedPageBreak/>
            <w:t>regulatory compliance interventions (macro). Similarly, a consumer (micro) can collectively shape retailer polici</w:t>
          </w:r>
          <w:r>
            <w:rPr>
              <w:rFonts w:ascii="Cardo" w:eastAsia="Cardo" w:hAnsi="Cardo" w:cs="Cardo"/>
            </w:rPr>
            <w:t>es (macro) while also influencing other consumers (micro) via social networks. Influence chains may span multiple actors and can follow sequential patterns. For example, consumer pressure on platforms (</w:t>
          </w:r>
          <w:proofErr w:type="spellStart"/>
          <w:r>
            <w:rPr>
              <w:rFonts w:ascii="Cardo" w:eastAsia="Cardo" w:hAnsi="Cardo" w:cs="Cardo"/>
            </w:rPr>
            <w:t>micro→macro</w:t>
          </w:r>
          <w:proofErr w:type="spellEnd"/>
          <w:r>
            <w:rPr>
              <w:rFonts w:ascii="Cardo" w:eastAsia="Cardo" w:hAnsi="Cardo" w:cs="Cardo"/>
            </w:rPr>
            <w:t>) can trigger platforms to impose new susta</w:t>
          </w:r>
          <w:r>
            <w:rPr>
              <w:rFonts w:ascii="Cardo" w:eastAsia="Cardo" w:hAnsi="Cardo" w:cs="Cardo"/>
            </w:rPr>
            <w:t>inability requirements on their suppliers and partners (</w:t>
          </w:r>
          <w:proofErr w:type="spellStart"/>
          <w:r>
            <w:rPr>
              <w:rFonts w:ascii="Cardo" w:eastAsia="Cardo" w:hAnsi="Cardo" w:cs="Cardo"/>
            </w:rPr>
            <w:t>macro→macro</w:t>
          </w:r>
          <w:proofErr w:type="spellEnd"/>
          <w:r>
            <w:rPr>
              <w:rFonts w:ascii="Cardo" w:eastAsia="Cardo" w:hAnsi="Cardo" w:cs="Cardo"/>
            </w:rPr>
            <w:t xml:space="preserve">). </w:t>
          </w:r>
        </w:sdtContent>
      </w:sdt>
    </w:p>
    <w:p w14:paraId="00000052" w14:textId="77777777" w:rsidR="00AB4CD0" w:rsidRDefault="004C12C0">
      <w:pPr>
        <w:spacing w:before="120" w:after="120" w:line="480" w:lineRule="auto"/>
        <w:ind w:firstLine="720"/>
        <w:jc w:val="both"/>
        <w:rPr>
          <w:rFonts w:ascii="Times New Roman" w:eastAsia="Times New Roman" w:hAnsi="Times New Roman" w:cs="Times New Roman"/>
        </w:rPr>
      </w:pPr>
      <w:sdt>
        <w:sdtPr>
          <w:tag w:val="goog_rdk_6"/>
          <w:id w:val="1607592739"/>
        </w:sdtPr>
        <w:sdtEndPr/>
        <w:sdtContent>
          <w:r>
            <w:rPr>
              <w:rFonts w:ascii="Cardo" w:eastAsia="Cardo" w:hAnsi="Cardo" w:cs="Cardo"/>
            </w:rPr>
            <w:t>To further illustrate the first stage, Table 2 shows the source–target matrix, and the resulting quadrants represent the combinations of who influences whom, with real life examples o</w:t>
          </w:r>
          <w:r>
            <w:rPr>
              <w:rFonts w:ascii="Cardo" w:eastAsia="Cardo" w:hAnsi="Cardo" w:cs="Cardo"/>
            </w:rPr>
            <w:t xml:space="preserve">f interventions and case studies from the retail sector, illustrating each cell. While previous sustainability influence frameworks have typically assumed one of these four quadrants (most often focusing exclusively on quadrant II, </w:t>
          </w:r>
          <w:proofErr w:type="spellStart"/>
          <w:r>
            <w:rPr>
              <w:rFonts w:ascii="Cardo" w:eastAsia="Cardo" w:hAnsi="Cardo" w:cs="Cardo"/>
            </w:rPr>
            <w:t>macro→micro</w:t>
          </w:r>
          <w:proofErr w:type="spellEnd"/>
          <w:r>
            <w:rPr>
              <w:rFonts w:ascii="Cardo" w:eastAsia="Cardo" w:hAnsi="Cardo" w:cs="Cardo"/>
            </w:rPr>
            <w:t>), each quadr</w:t>
          </w:r>
          <w:r>
            <w:rPr>
              <w:rFonts w:ascii="Cardo" w:eastAsia="Cardo" w:hAnsi="Cardo" w:cs="Cardo"/>
            </w:rPr>
            <w:t>ant has its own distinct dynamics, potential, and opportunities for future research, as we detail below.</w:t>
          </w:r>
        </w:sdtContent>
      </w:sdt>
    </w:p>
    <w:p w14:paraId="00000053" w14:textId="77777777" w:rsidR="00AB4CD0" w:rsidRDefault="004C12C0">
      <w:pPr>
        <w:spacing w:before="120" w:after="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Across these quadrants, sustainability interventions can influence diverse marketing decisions including product assortment and sourcing choices, pri</w:t>
      </w:r>
      <w:r>
        <w:rPr>
          <w:rFonts w:ascii="Times New Roman" w:eastAsia="Times New Roman" w:hAnsi="Times New Roman" w:cs="Times New Roman"/>
        </w:rPr>
        <w:t>cing and promotional strategies, packaging and waste management practices, communication and labeling approaches,</w:t>
      </w:r>
    </w:p>
    <w:p w14:paraId="00000054" w14:textId="77777777" w:rsidR="00AB4CD0" w:rsidRDefault="00AB4CD0">
      <w:pPr>
        <w:spacing w:before="120" w:after="120" w:line="480" w:lineRule="auto"/>
        <w:ind w:firstLine="720"/>
        <w:jc w:val="both"/>
        <w:rPr>
          <w:rFonts w:ascii="Times New Roman" w:eastAsia="Times New Roman" w:hAnsi="Times New Roman" w:cs="Times New Roman"/>
        </w:rPr>
      </w:pPr>
    </w:p>
    <w:p w14:paraId="00000055" w14:textId="77777777" w:rsidR="00AB4CD0" w:rsidRDefault="004C12C0">
      <w:pPr>
        <w:spacing w:before="120" w:line="480" w:lineRule="auto"/>
        <w:jc w:val="center"/>
        <w:rPr>
          <w:rFonts w:ascii="Times New Roman" w:eastAsia="Times New Roman" w:hAnsi="Times New Roman" w:cs="Times New Roman"/>
          <w:b/>
          <w:bCs/>
        </w:rPr>
      </w:pPr>
      <w:r>
        <w:rPr>
          <w:rFonts w:ascii="Times New Roman" w:eastAsia="Times New Roman" w:hAnsi="Times New Roman" w:cs="Times New Roman"/>
          <w:b/>
          <w:bCs/>
        </w:rPr>
        <w:t>Table 2: The First Stage: Source–Target Matrix with Actors &amp; Examples by Quadrant</w:t>
      </w:r>
    </w:p>
    <w:tbl>
      <w:tblPr>
        <w:tblStyle w:val="af7"/>
        <w:tblW w:w="9936" w:type="dxa"/>
        <w:tblBorders>
          <w:top w:val="nil"/>
          <w:left w:val="nil"/>
          <w:bottom w:val="nil"/>
          <w:right w:val="nil"/>
          <w:insideH w:val="nil"/>
          <w:insideV w:val="nil"/>
        </w:tblBorders>
        <w:tblLayout w:type="fixed"/>
        <w:tblLook w:val="0600" w:firstRow="0" w:lastRow="0" w:firstColumn="0" w:lastColumn="0" w:noHBand="1" w:noVBand="1"/>
      </w:tblPr>
      <w:tblGrid>
        <w:gridCol w:w="1008"/>
        <w:gridCol w:w="1008"/>
        <w:gridCol w:w="2880"/>
        <w:gridCol w:w="1008"/>
        <w:gridCol w:w="1152"/>
        <w:gridCol w:w="2880"/>
      </w:tblGrid>
      <w:tr w:rsidR="00AB4CD0" w14:paraId="3C132FD1" w14:textId="77777777">
        <w:trPr>
          <w:trHeight w:val="360"/>
        </w:trPr>
        <w:tc>
          <w:tcPr>
            <w:tcW w:w="4896"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vAlign w:val="center"/>
          </w:tcPr>
          <w:p w14:paraId="00000056"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7"/>
                <w:id w:val="-490607181"/>
              </w:sdtPr>
              <w:sdtEndPr/>
              <w:sdtContent>
                <w:r>
                  <w:rPr>
                    <w:rFonts w:ascii="Cardo" w:eastAsia="Cardo" w:hAnsi="Cardo" w:cs="Cardo"/>
                    <w:b/>
                    <w:bCs/>
                    <w:sz w:val="16"/>
                    <w:szCs w:val="16"/>
                  </w:rPr>
                  <w:t xml:space="preserve"> Quadrant I: Micro → Micro</w:t>
                </w:r>
              </w:sdtContent>
            </w:sdt>
          </w:p>
        </w:tc>
        <w:tc>
          <w:tcPr>
            <w:tcW w:w="5040"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vAlign w:val="center"/>
          </w:tcPr>
          <w:p w14:paraId="00000059"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8"/>
                <w:id w:val="-212502037"/>
              </w:sdtPr>
              <w:sdtEndPr/>
              <w:sdtContent>
                <w:r>
                  <w:rPr>
                    <w:rFonts w:ascii="Cardo" w:eastAsia="Cardo" w:hAnsi="Cardo" w:cs="Cardo"/>
                    <w:b/>
                    <w:bCs/>
                    <w:sz w:val="16"/>
                    <w:szCs w:val="16"/>
                  </w:rPr>
                  <w:t xml:space="preserve"> Quadrant II: Macro → Micro</w:t>
                </w:r>
              </w:sdtContent>
            </w:sdt>
          </w:p>
        </w:tc>
      </w:tr>
      <w:tr w:rsidR="00AB4CD0" w14:paraId="471E437C" w14:textId="77777777">
        <w:trPr>
          <w:trHeight w:val="285"/>
        </w:trPr>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5C" w14:textId="77777777" w:rsidR="00AB4CD0" w:rsidRDefault="004C12C0">
            <w:pPr>
              <w:ind w:left="135"/>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Target</w:t>
            </w:r>
          </w:p>
        </w:tc>
        <w:tc>
          <w:tcPr>
            <w:tcW w:w="1008"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5D"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Source</w:t>
            </w:r>
          </w:p>
        </w:tc>
        <w:tc>
          <w:tcPr>
            <w:tcW w:w="288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5E"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Real-life Examples &amp; Cases</w:t>
            </w:r>
          </w:p>
        </w:tc>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5F" w14:textId="77777777" w:rsidR="00AB4CD0" w:rsidRDefault="004C12C0">
            <w:pPr>
              <w:ind w:left="135"/>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Target</w:t>
            </w:r>
          </w:p>
        </w:tc>
        <w:tc>
          <w:tcPr>
            <w:tcW w:w="1152"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60"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Source</w:t>
            </w:r>
          </w:p>
        </w:tc>
        <w:tc>
          <w:tcPr>
            <w:tcW w:w="288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61"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Real-life Examples &amp; Cases</w:t>
            </w:r>
          </w:p>
        </w:tc>
      </w:tr>
      <w:tr w:rsidR="00AB4CD0" w14:paraId="6F0FCEBA" w14:textId="77777777">
        <w:trPr>
          <w:trHeight w:val="1530"/>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2"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3"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Social proof &amp; peer-to-peer effects: consumers may influence family members (</w:t>
            </w:r>
            <w:proofErr w:type="spellStart"/>
            <w:r>
              <w:rPr>
                <w:rFonts w:ascii="Times New Roman" w:eastAsia="Times New Roman" w:hAnsi="Times New Roman" w:cs="Times New Roman"/>
                <w:sz w:val="16"/>
                <w:szCs w:val="16"/>
              </w:rPr>
              <w:t>Lissillour</w:t>
            </w:r>
            <w:proofErr w:type="spellEnd"/>
            <w:r>
              <w:rPr>
                <w:rFonts w:ascii="Times New Roman" w:eastAsia="Times New Roman" w:hAnsi="Times New Roman" w:cs="Times New Roman"/>
                <w:sz w:val="16"/>
                <w:szCs w:val="16"/>
              </w:rPr>
              <w:t xml:space="preserve"> et al., 2025), or peers to make green purchases (Lee, 2008)</w:t>
            </w:r>
          </w:p>
          <w:p w14:paraId="0000006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Social media influence (</w:t>
            </w:r>
            <w:proofErr w:type="spellStart"/>
            <w:r>
              <w:rPr>
                <w:rFonts w:ascii="Times New Roman" w:eastAsia="Times New Roman" w:hAnsi="Times New Roman" w:cs="Times New Roman"/>
                <w:sz w:val="16"/>
                <w:szCs w:val="16"/>
              </w:rPr>
              <w:t>e.g.,“thrift</w:t>
            </w:r>
            <w:proofErr w:type="spellEnd"/>
            <w:r>
              <w:rPr>
                <w:rFonts w:ascii="Times New Roman" w:eastAsia="Times New Roman" w:hAnsi="Times New Roman" w:cs="Times New Roman"/>
                <w:sz w:val="16"/>
                <w:szCs w:val="16"/>
              </w:rPr>
              <w:t xml:space="preserve"> haul” videos, </w:t>
            </w:r>
            <w:hyperlink r:id="rId10">
              <w:r>
                <w:rPr>
                  <w:rFonts w:ascii="Times New Roman" w:eastAsia="Times New Roman" w:hAnsi="Times New Roman" w:cs="Times New Roman"/>
                  <w:color w:val="0000FF"/>
                  <w:sz w:val="16"/>
                  <w:szCs w:val="16"/>
                  <w:u w:val="single"/>
                </w:rPr>
                <w:t>Maguire 2022</w:t>
              </w:r>
            </w:hyperlink>
            <w:r>
              <w:rPr>
                <w:rFonts w:ascii="Times New Roman" w:eastAsia="Times New Roman" w:hAnsi="Times New Roman" w:cs="Times New Roman"/>
                <w:sz w:val="16"/>
                <w:szCs w:val="16"/>
              </w:rPr>
              <w:t>).</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6"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6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Retailer, Macro-</w:t>
            </w:r>
          </w:p>
          <w:p w14:paraId="0000006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actor Partnership</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6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Retailers promoting recycling (e.g., H&amp;M Group </w:t>
            </w:r>
            <w:hyperlink r:id="rId11">
              <w:r>
                <w:rPr>
                  <w:rFonts w:ascii="Times New Roman" w:eastAsia="Times New Roman" w:hAnsi="Times New Roman" w:cs="Times New Roman"/>
                  <w:color w:val="1155CC"/>
                  <w:sz w:val="16"/>
                  <w:szCs w:val="16"/>
                  <w:u w:val="single"/>
                </w:rPr>
                <w:t>2012</w:t>
              </w:r>
            </w:hyperlink>
            <w:r>
              <w:rPr>
                <w:rFonts w:ascii="Times New Roman" w:eastAsia="Times New Roman" w:hAnsi="Times New Roman" w:cs="Times New Roman"/>
                <w:sz w:val="16"/>
                <w:szCs w:val="16"/>
              </w:rPr>
              <w:t xml:space="preserve">), reusable packaging (Take-Back Incentives , Lush </w:t>
            </w:r>
            <w:hyperlink r:id="rId12">
              <w:r>
                <w:rPr>
                  <w:rFonts w:ascii="Times New Roman" w:eastAsia="Times New Roman" w:hAnsi="Times New Roman" w:cs="Times New Roman"/>
                  <w:color w:val="1155CC"/>
                  <w:sz w:val="16"/>
                  <w:szCs w:val="16"/>
                  <w:u w:val="single"/>
                </w:rPr>
                <w:t>2025</w:t>
              </w:r>
            </w:hyperlink>
            <w:r>
              <w:rPr>
                <w:rFonts w:ascii="Times New Roman" w:eastAsia="Times New Roman" w:hAnsi="Times New Roman" w:cs="Times New Roman"/>
                <w:sz w:val="16"/>
                <w:szCs w:val="16"/>
              </w:rPr>
              <w:t xml:space="preserve">; Bring It Back Fund, Starbucks </w:t>
            </w:r>
            <w:hyperlink r:id="rId13">
              <w:r>
                <w:rPr>
                  <w:rFonts w:ascii="Times New Roman" w:eastAsia="Times New Roman" w:hAnsi="Times New Roman" w:cs="Times New Roman"/>
                  <w:color w:val="1155CC"/>
                  <w:sz w:val="16"/>
                  <w:szCs w:val="16"/>
                  <w:u w:val="single"/>
                </w:rPr>
                <w:t>2022</w:t>
              </w:r>
            </w:hyperlink>
            <w:r>
              <w:rPr>
                <w:rFonts w:ascii="Times New Roman" w:eastAsia="Times New Roman" w:hAnsi="Times New Roman" w:cs="Times New Roman"/>
                <w:sz w:val="16"/>
                <w:szCs w:val="16"/>
              </w:rPr>
              <w:t>).</w:t>
            </w:r>
          </w:p>
          <w:p w14:paraId="0000006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hyperlink r:id="rId14">
              <w:r>
                <w:rPr>
                  <w:rFonts w:ascii="Times New Roman" w:eastAsia="Times New Roman" w:hAnsi="Times New Roman" w:cs="Times New Roman"/>
                  <w:color w:val="1155CC"/>
                  <w:sz w:val="16"/>
                  <w:szCs w:val="16"/>
                  <w:u w:val="single"/>
                </w:rPr>
                <w:t>IKEA</w:t>
              </w:r>
            </w:hyperlink>
            <w:r>
              <w:rPr>
                <w:rFonts w:ascii="Times New Roman" w:eastAsia="Times New Roman" w:hAnsi="Times New Roman" w:cs="Times New Roman"/>
                <w:sz w:val="16"/>
                <w:szCs w:val="16"/>
              </w:rPr>
              <w:t xml:space="preserve"> introduced the “Energy Insights” feature within its smart home app (</w:t>
            </w:r>
            <w:proofErr w:type="spellStart"/>
            <w:r>
              <w:rPr>
                <w:rFonts w:ascii="Times New Roman" w:eastAsia="Times New Roman" w:hAnsi="Times New Roman" w:cs="Times New Roman"/>
                <w:sz w:val="16"/>
                <w:szCs w:val="16"/>
              </w:rPr>
              <w:t>moni</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toring</w:t>
            </w:r>
            <w:proofErr w:type="spellEnd"/>
            <w:r>
              <w:rPr>
                <w:rFonts w:ascii="Times New Roman" w:eastAsia="Times New Roman" w:hAnsi="Times New Roman" w:cs="Times New Roman"/>
                <w:sz w:val="16"/>
                <w:szCs w:val="16"/>
              </w:rPr>
              <w:t xml:space="preserve">, social comparisons, </w:t>
            </w:r>
            <w:r>
              <w:rPr>
                <w:rFonts w:ascii="Times New Roman" w:eastAsia="Times New Roman" w:hAnsi="Times New Roman" w:cs="Times New Roman"/>
                <w:sz w:val="16"/>
                <w:szCs w:val="16"/>
              </w:rPr>
              <w:t>personalized tips)</w:t>
            </w:r>
          </w:p>
        </w:tc>
      </w:tr>
      <w:tr w:rsidR="00AB4CD0" w14:paraId="4C7A97E0" w14:textId="77777777">
        <w:trPr>
          <w:trHeight w:val="750"/>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B"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Consumer</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C"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Social-norm messages drive sustainable behavior (e.g., Sparkman and Walton 2017)</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6E"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6F"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Federal and / or State government</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70"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Tax credits for plug-in hybrid vehicles (e.g., Colorado and Oregon)</w:t>
            </w:r>
          </w:p>
          <w:p w14:paraId="00000071"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hyperlink r:id="rId15">
              <w:r>
                <w:rPr>
                  <w:rFonts w:ascii="Times New Roman" w:eastAsia="Times New Roman" w:hAnsi="Times New Roman" w:cs="Times New Roman"/>
                  <w:color w:val="1155CC"/>
                  <w:sz w:val="16"/>
                  <w:szCs w:val="16"/>
                  <w:u w:val="single"/>
                </w:rPr>
                <w:t>HOV incentive</w:t>
              </w:r>
            </w:hyperlink>
            <w:r>
              <w:rPr>
                <w:rFonts w:ascii="Times New Roman" w:eastAsia="Times New Roman" w:hAnsi="Times New Roman" w:cs="Times New Roman"/>
                <w:sz w:val="16"/>
                <w:szCs w:val="16"/>
              </w:rPr>
              <w:t xml:space="preserve"> for hybrid vehicles (e.g., California, Utah)</w:t>
            </w:r>
          </w:p>
        </w:tc>
      </w:tr>
      <w:tr w:rsidR="00AB4CD0" w14:paraId="16215235" w14:textId="77777777">
        <w:trPr>
          <w:trHeight w:val="779"/>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2"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3"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Rooftop solar adoption: Community organizers with solar panels on their own homes recruited 63% more installations (Kraft-Todd</w:t>
            </w:r>
            <w:r>
              <w:rPr>
                <w:rFonts w:ascii="Times New Roman" w:eastAsia="Times New Roman" w:hAnsi="Times New Roman" w:cs="Times New Roman"/>
                <w:sz w:val="16"/>
                <w:szCs w:val="16"/>
              </w:rPr>
              <w:t xml:space="preserve"> et al. 2018).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5"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7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Utility companies/</w:t>
            </w:r>
            <w:r>
              <w:rPr>
                <w:rFonts w:ascii="Times New Roman" w:eastAsia="Times New Roman" w:hAnsi="Times New Roman" w:cs="Times New Roman"/>
                <w:sz w:val="16"/>
                <w:szCs w:val="16"/>
              </w:rPr>
              <w:br/>
              <w:t>municipalities</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7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hyperlink r:id="rId16">
              <w:r>
                <w:rPr>
                  <w:rFonts w:ascii="Times New Roman" w:eastAsia="Times New Roman" w:hAnsi="Times New Roman" w:cs="Times New Roman"/>
                  <w:color w:val="1155CC"/>
                  <w:sz w:val="16"/>
                  <w:szCs w:val="16"/>
                  <w:u w:val="single"/>
                </w:rPr>
                <w:t>Pacific Gas and Electric</w:t>
              </w:r>
            </w:hyperlink>
            <w:r>
              <w:rPr>
                <w:rFonts w:ascii="Times New Roman" w:eastAsia="Times New Roman" w:hAnsi="Times New Roman" w:cs="Times New Roman"/>
                <w:sz w:val="16"/>
                <w:szCs w:val="16"/>
              </w:rPr>
              <w:t xml:space="preserve"> offers residential consumers </w:t>
            </w:r>
            <w:proofErr w:type="gramStart"/>
            <w:r>
              <w:rPr>
                <w:rFonts w:ascii="Times New Roman" w:eastAsia="Times New Roman" w:hAnsi="Times New Roman" w:cs="Times New Roman"/>
                <w:sz w:val="16"/>
                <w:szCs w:val="16"/>
              </w:rPr>
              <w:t>rebates</w:t>
            </w:r>
            <w:proofErr w:type="gramEnd"/>
            <w:r>
              <w:rPr>
                <w:rFonts w:ascii="Times New Roman" w:eastAsia="Times New Roman" w:hAnsi="Times New Roman" w:cs="Times New Roman"/>
                <w:sz w:val="16"/>
                <w:szCs w:val="16"/>
              </w:rPr>
              <w:t xml:space="preserve"> for EV charging stations</w:t>
            </w:r>
          </w:p>
        </w:tc>
      </w:tr>
      <w:tr w:rsidR="00AB4CD0" w14:paraId="175B68F7" w14:textId="77777777">
        <w:trPr>
          <w:trHeight w:val="370"/>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8"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9"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Peer-to-peer gift economy encouraging participants to reuse and repurpose, spreading sustainable consumption habits (e.g., </w:t>
            </w:r>
            <w:hyperlink r:id="rId17">
              <w:proofErr w:type="spellStart"/>
              <w:r>
                <w:rPr>
                  <w:rFonts w:ascii="Times New Roman" w:eastAsia="Times New Roman" w:hAnsi="Times New Roman" w:cs="Times New Roman"/>
                  <w:color w:val="1155CC"/>
                  <w:sz w:val="16"/>
                  <w:szCs w:val="16"/>
                  <w:u w:val="single"/>
                </w:rPr>
                <w:t>BuyNothing</w:t>
              </w:r>
              <w:proofErr w:type="spellEnd"/>
              <w:r>
                <w:rPr>
                  <w:rFonts w:ascii="Times New Roman" w:eastAsia="Times New Roman" w:hAnsi="Times New Roman" w:cs="Times New Roman"/>
                  <w:color w:val="1155CC"/>
                  <w:sz w:val="16"/>
                  <w:szCs w:val="16"/>
                  <w:u w:val="single"/>
                </w:rPr>
                <w:t xml:space="preserve"> Project</w:t>
              </w:r>
            </w:hyperlink>
            <w:r>
              <w:rPr>
                <w:rFonts w:ascii="Times New Roman" w:eastAsia="Times New Roman" w:hAnsi="Times New Roman" w:cs="Times New Roman"/>
                <w:sz w:val="16"/>
                <w:szCs w:val="16"/>
              </w:rPr>
              <w:t>, Danziger 2025)</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B"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7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Manufacturer</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7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Kia cash rebate</w:t>
            </w:r>
            <w:r>
              <w:rPr>
                <w:rFonts w:ascii="Times New Roman" w:eastAsia="Times New Roman" w:hAnsi="Times New Roman" w:cs="Times New Roman"/>
                <w:sz w:val="16"/>
                <w:szCs w:val="16"/>
              </w:rPr>
              <w:t>s for Niro EV</w:t>
            </w:r>
          </w:p>
          <w:p w14:paraId="0000007E"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Dodge 0% financing on green models</w:t>
            </w:r>
          </w:p>
        </w:tc>
      </w:tr>
      <w:tr w:rsidR="00AB4CD0" w14:paraId="28D67791" w14:textId="77777777">
        <w:trPr>
          <w:trHeight w:val="371"/>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7F"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0"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1"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Neighbors gift and share items via local social media groups.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2"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8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Government</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8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Carbon tax policies influencing consumption (e.g., </w:t>
            </w:r>
            <w:hyperlink r:id="rId18">
              <w:r>
                <w:rPr>
                  <w:rFonts w:ascii="Times New Roman" w:eastAsia="Times New Roman" w:hAnsi="Times New Roman" w:cs="Times New Roman"/>
                  <w:color w:val="1155CC"/>
                  <w:sz w:val="16"/>
                  <w:szCs w:val="16"/>
                  <w:u w:val="single"/>
                </w:rPr>
                <w:t>Sweden</w:t>
              </w:r>
            </w:hyperlink>
            <w:r>
              <w:rPr>
                <w:rFonts w:ascii="Times New Roman" w:eastAsia="Times New Roman" w:hAnsi="Times New Roman" w:cs="Times New Roman"/>
                <w:sz w:val="16"/>
                <w:szCs w:val="16"/>
              </w:rPr>
              <w:t>, Finland)</w:t>
            </w:r>
          </w:p>
        </w:tc>
      </w:tr>
      <w:tr w:rsidR="00AB4CD0" w14:paraId="46B5B31E" w14:textId="77777777">
        <w:trPr>
          <w:trHeight w:val="405"/>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5"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Employee</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6"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Employee</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7"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Peer influence within organizational settings Community-to-Community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8"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8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Federal agencies </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8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Redesign of consumer labels by the </w:t>
            </w:r>
            <w:hyperlink r:id="rId19">
              <w:r>
                <w:rPr>
                  <w:rFonts w:ascii="Times New Roman" w:eastAsia="Times New Roman" w:hAnsi="Times New Roman" w:cs="Times New Roman"/>
                  <w:color w:val="1155CC"/>
                  <w:sz w:val="16"/>
                  <w:szCs w:val="16"/>
                  <w:u w:val="single"/>
                </w:rPr>
                <w:t>EPA</w:t>
              </w:r>
            </w:hyperlink>
            <w:r>
              <w:rPr>
                <w:rFonts w:ascii="Times New Roman" w:eastAsia="Times New Roman" w:hAnsi="Times New Roman" w:cs="Times New Roman"/>
                <w:sz w:val="16"/>
                <w:szCs w:val="16"/>
              </w:rPr>
              <w:t xml:space="preserve"> and the NHTSA</w:t>
            </w:r>
          </w:p>
        </w:tc>
      </w:tr>
      <w:tr w:rsidR="00AB4CD0" w14:paraId="43A55DA4" w14:textId="77777777">
        <w:trPr>
          <w:trHeight w:val="630"/>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B"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micro-enterprises</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C"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micro-enterprises</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D"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"micro-enterprise" retailers adopt a "no plastic bag" campaign (Carrigan et al. 2011).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8E"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8F"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Macro actor Partnerships</w:t>
            </w:r>
          </w:p>
          <w:p w14:paraId="00000090" w14:textId="77777777" w:rsidR="00AB4CD0" w:rsidRDefault="00AB4CD0">
            <w:pPr>
              <w:rPr>
                <w:rFonts w:ascii="Times New Roman" w:eastAsia="Times New Roman" w:hAnsi="Times New Roman" w:cs="Times New Roman"/>
                <w:sz w:val="16"/>
                <w:szCs w:val="16"/>
              </w:rPr>
            </w:pP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91"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Government-backed labeling programs </w:t>
            </w:r>
          </w:p>
          <w:p w14:paraId="00000092"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Personalized home energy reports by the partnership of </w:t>
            </w:r>
            <w:proofErr w:type="spellStart"/>
            <w:r>
              <w:rPr>
                <w:rFonts w:ascii="Times New Roman" w:eastAsia="Times New Roman" w:hAnsi="Times New Roman" w:cs="Times New Roman"/>
                <w:sz w:val="16"/>
                <w:szCs w:val="16"/>
              </w:rPr>
              <w:t>Opower</w:t>
            </w:r>
            <w:proofErr w:type="spellEnd"/>
            <w:r>
              <w:rPr>
                <w:rFonts w:ascii="Times New Roman" w:eastAsia="Times New Roman" w:hAnsi="Times New Roman" w:cs="Times New Roman"/>
                <w:sz w:val="16"/>
                <w:szCs w:val="16"/>
              </w:rPr>
              <w:t xml:space="preserve"> and U.S. utility companies (e.g., </w:t>
            </w:r>
            <w:proofErr w:type="spellStart"/>
            <w:r>
              <w:rPr>
                <w:rFonts w:ascii="Times New Roman" w:eastAsia="Times New Roman" w:hAnsi="Times New Roman" w:cs="Times New Roman"/>
                <w:sz w:val="16"/>
                <w:szCs w:val="16"/>
              </w:rPr>
              <w:t>Allcott</w:t>
            </w:r>
            <w:proofErr w:type="spellEnd"/>
            <w:r>
              <w:rPr>
                <w:rFonts w:ascii="Times New Roman" w:eastAsia="Times New Roman" w:hAnsi="Times New Roman" w:cs="Times New Roman"/>
                <w:sz w:val="16"/>
                <w:szCs w:val="16"/>
              </w:rPr>
              <w:t xml:space="preserve"> 2011).</w:t>
            </w:r>
          </w:p>
          <w:p w14:paraId="00000093"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Voluntary labeling program </w:t>
            </w:r>
            <w:hyperlink r:id="rId20">
              <w:r>
                <w:rPr>
                  <w:rFonts w:ascii="Times New Roman" w:eastAsia="Times New Roman" w:hAnsi="Times New Roman" w:cs="Times New Roman"/>
                  <w:color w:val="1155CC"/>
                  <w:sz w:val="16"/>
                  <w:szCs w:val="16"/>
                  <w:u w:val="single"/>
                </w:rPr>
                <w:t>ENERGY STAR</w:t>
              </w:r>
            </w:hyperlink>
            <w:r>
              <w:rPr>
                <w:rFonts w:ascii="Times New Roman" w:eastAsia="Times New Roman" w:hAnsi="Times New Roman" w:cs="Times New Roman"/>
                <w:sz w:val="16"/>
                <w:szCs w:val="16"/>
              </w:rPr>
              <w:t xml:space="preserve"> by the EPA &amp; partners to identify energy-efficient products and buildings.</w:t>
            </w:r>
          </w:p>
        </w:tc>
      </w:tr>
      <w:tr w:rsidR="00AB4CD0" w14:paraId="3A062AF4" w14:textId="77777777">
        <w:trPr>
          <w:trHeight w:val="630"/>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4" w14:textId="77777777" w:rsidR="00AB4CD0" w:rsidRDefault="00AB4CD0">
            <w:pPr>
              <w:jc w:val="both"/>
              <w:rPr>
                <w:rFonts w:ascii="Times New Roman" w:eastAsia="Times New Roman" w:hAnsi="Times New Roman" w:cs="Times New Roman"/>
                <w:sz w:val="16"/>
                <w:szCs w:val="16"/>
              </w:rPr>
            </w:pP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5" w14:textId="77777777" w:rsidR="00AB4CD0" w:rsidRDefault="00AB4CD0">
            <w:pPr>
              <w:jc w:val="both"/>
              <w:rPr>
                <w:rFonts w:ascii="Times New Roman" w:eastAsia="Times New Roman" w:hAnsi="Times New Roman" w:cs="Times New Roman"/>
                <w:sz w:val="16"/>
                <w:szCs w:val="16"/>
              </w:rPr>
            </w:pP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6" w14:textId="77777777" w:rsidR="00AB4CD0" w:rsidRDefault="00AB4CD0">
            <w:pPr>
              <w:jc w:val="both"/>
              <w:rPr>
                <w:rFonts w:ascii="Times New Roman" w:eastAsia="Times New Roman" w:hAnsi="Times New Roman" w:cs="Times New Roman"/>
                <w:sz w:val="16"/>
                <w:szCs w:val="16"/>
              </w:rPr>
            </w:pP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7"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Employee</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9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Manufacturer, dealerships, associations</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9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hyperlink r:id="rId21">
              <w:r>
                <w:rPr>
                  <w:rFonts w:ascii="Times New Roman" w:eastAsia="Times New Roman" w:hAnsi="Times New Roman" w:cs="Times New Roman"/>
                  <w:color w:val="1155CC"/>
                  <w:sz w:val="16"/>
                  <w:szCs w:val="16"/>
                  <w:u w:val="single"/>
                </w:rPr>
                <w:t>The Chevrolet Experience</w:t>
              </w:r>
            </w:hyperlink>
            <w:r>
              <w:rPr>
                <w:rFonts w:ascii="Times New Roman" w:eastAsia="Times New Roman" w:hAnsi="Times New Roman" w:cs="Times New Roman"/>
                <w:sz w:val="16"/>
                <w:szCs w:val="16"/>
              </w:rPr>
              <w:t>", a training program for sales personnel, targeting 7,000+ dealership employees</w:t>
            </w:r>
          </w:p>
        </w:tc>
      </w:tr>
      <w:tr w:rsidR="00AB4CD0" w14:paraId="19AAAC55" w14:textId="77777777">
        <w:trPr>
          <w:trHeight w:val="750"/>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A" w14:textId="77777777" w:rsidR="00AB4CD0" w:rsidRDefault="00AB4CD0">
            <w:pPr>
              <w:jc w:val="both"/>
              <w:rPr>
                <w:rFonts w:ascii="Times New Roman" w:eastAsia="Times New Roman" w:hAnsi="Times New Roman" w:cs="Times New Roman"/>
                <w:sz w:val="16"/>
                <w:szCs w:val="16"/>
              </w:rPr>
            </w:pP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B" w14:textId="77777777" w:rsidR="00AB4CD0" w:rsidRDefault="00AB4CD0">
            <w:pPr>
              <w:jc w:val="both"/>
              <w:rPr>
                <w:rFonts w:ascii="Times New Roman" w:eastAsia="Times New Roman" w:hAnsi="Times New Roman" w:cs="Times New Roman"/>
                <w:sz w:val="16"/>
                <w:szCs w:val="16"/>
              </w:rPr>
            </w:pP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C" w14:textId="77777777" w:rsidR="00AB4CD0" w:rsidRDefault="00AB4CD0">
            <w:pPr>
              <w:jc w:val="both"/>
              <w:rPr>
                <w:rFonts w:ascii="Times New Roman" w:eastAsia="Times New Roman" w:hAnsi="Times New Roman" w:cs="Times New Roman"/>
                <w:sz w:val="16"/>
                <w:szCs w:val="16"/>
              </w:rPr>
            </w:pP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9D"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Employee</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9E"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Dealerships, dealer associations, non-profit organizations</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9F"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hyperlink r:id="rId22">
              <w:proofErr w:type="spellStart"/>
              <w:r>
                <w:rPr>
                  <w:rFonts w:ascii="Times New Roman" w:eastAsia="Times New Roman" w:hAnsi="Times New Roman" w:cs="Times New Roman"/>
                  <w:color w:val="1155CC"/>
                  <w:sz w:val="16"/>
                  <w:szCs w:val="16"/>
                  <w:u w:val="single"/>
                </w:rPr>
                <w:t>ElectrifIQ</w:t>
              </w:r>
              <w:proofErr w:type="spellEnd"/>
            </w:hyperlink>
            <w:r>
              <w:rPr>
                <w:rFonts w:ascii="Times New Roman" w:eastAsia="Times New Roman" w:hAnsi="Times New Roman" w:cs="Times New Roman"/>
                <w:sz w:val="16"/>
                <w:szCs w:val="16"/>
              </w:rPr>
              <w:t>, a national online EV certification program for sales staff offered by the National Automobile Dealers Association and the Center for Sustainable Energy</w:t>
            </w:r>
          </w:p>
        </w:tc>
      </w:tr>
      <w:tr w:rsidR="00AB4CD0" w14:paraId="43A1FC9D" w14:textId="77777777">
        <w:trPr>
          <w:trHeight w:val="425"/>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A0" w14:textId="77777777" w:rsidR="00AB4CD0" w:rsidRDefault="00AB4CD0">
            <w:pPr>
              <w:jc w:val="both"/>
              <w:rPr>
                <w:rFonts w:ascii="Times New Roman" w:eastAsia="Times New Roman" w:hAnsi="Times New Roman" w:cs="Times New Roman"/>
                <w:sz w:val="16"/>
                <w:szCs w:val="16"/>
              </w:rPr>
            </w:pP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A1" w14:textId="77777777" w:rsidR="00AB4CD0" w:rsidRDefault="00AB4CD0">
            <w:pPr>
              <w:jc w:val="both"/>
              <w:rPr>
                <w:rFonts w:ascii="Times New Roman" w:eastAsia="Times New Roman" w:hAnsi="Times New Roman" w:cs="Times New Roman"/>
                <w:sz w:val="16"/>
                <w:szCs w:val="16"/>
              </w:rPr>
            </w:pP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A2" w14:textId="77777777" w:rsidR="00AB4CD0" w:rsidRDefault="00AB4CD0">
            <w:pPr>
              <w:jc w:val="both"/>
              <w:rPr>
                <w:rFonts w:ascii="Times New Roman" w:eastAsia="Times New Roman" w:hAnsi="Times New Roman" w:cs="Times New Roman"/>
                <w:sz w:val="16"/>
                <w:szCs w:val="16"/>
              </w:rPr>
            </w:pP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A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Employee</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A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Brand / Manufacturer</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A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Corporate sustainability training programs (e.g., </w:t>
            </w:r>
            <w:proofErr w:type="spellStart"/>
            <w:r>
              <w:rPr>
                <w:rFonts w:ascii="Times New Roman" w:eastAsia="Times New Roman" w:hAnsi="Times New Roman" w:cs="Times New Roman"/>
                <w:sz w:val="16"/>
                <w:szCs w:val="16"/>
              </w:rPr>
              <w:t>Sult</w:t>
            </w:r>
            <w:proofErr w:type="spellEnd"/>
            <w:r>
              <w:rPr>
                <w:rFonts w:ascii="Times New Roman" w:eastAsia="Times New Roman" w:hAnsi="Times New Roman" w:cs="Times New Roman"/>
                <w:sz w:val="16"/>
                <w:szCs w:val="16"/>
              </w:rPr>
              <w:t xml:space="preserve"> et al. 2024)</w:t>
            </w:r>
          </w:p>
        </w:tc>
      </w:tr>
      <w:tr w:rsidR="00AB4CD0" w14:paraId="3864F4AB" w14:textId="77777777">
        <w:trPr>
          <w:trHeight w:val="285"/>
        </w:trPr>
        <w:tc>
          <w:tcPr>
            <w:tcW w:w="4896"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vAlign w:val="center"/>
          </w:tcPr>
          <w:p w14:paraId="000000A6"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9"/>
                <w:id w:val="-238507783"/>
              </w:sdtPr>
              <w:sdtEndPr/>
              <w:sdtContent>
                <w:r>
                  <w:rPr>
                    <w:rFonts w:ascii="Cardo" w:eastAsia="Cardo" w:hAnsi="Cardo" w:cs="Cardo"/>
                    <w:b/>
                    <w:bCs/>
                    <w:sz w:val="16"/>
                    <w:szCs w:val="16"/>
                  </w:rPr>
                  <w:t xml:space="preserve"> Quadrant III: Micro → Macro</w:t>
                </w:r>
              </w:sdtContent>
            </w:sdt>
          </w:p>
        </w:tc>
        <w:tc>
          <w:tcPr>
            <w:tcW w:w="5040"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vAlign w:val="center"/>
          </w:tcPr>
          <w:p w14:paraId="000000A9"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10"/>
                <w:id w:val="-2080799864"/>
              </w:sdtPr>
              <w:sdtEndPr/>
              <w:sdtContent>
                <w:r>
                  <w:rPr>
                    <w:rFonts w:ascii="Cardo" w:eastAsia="Cardo" w:hAnsi="Cardo" w:cs="Cardo"/>
                    <w:b/>
                    <w:bCs/>
                    <w:sz w:val="16"/>
                    <w:szCs w:val="16"/>
                  </w:rPr>
                  <w:t xml:space="preserve"> Quadrant IV: Macro → Macro</w:t>
                </w:r>
              </w:sdtContent>
            </w:sdt>
          </w:p>
        </w:tc>
      </w:tr>
      <w:tr w:rsidR="00AB4CD0" w14:paraId="140B119A" w14:textId="77777777">
        <w:trPr>
          <w:trHeight w:val="285"/>
        </w:trPr>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AC" w14:textId="77777777" w:rsidR="00AB4CD0" w:rsidRDefault="004C12C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Target</w:t>
            </w:r>
          </w:p>
        </w:tc>
        <w:tc>
          <w:tcPr>
            <w:tcW w:w="1008"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AD" w14:textId="77777777" w:rsidR="00AB4CD0" w:rsidRDefault="004C12C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Source</w:t>
            </w:r>
          </w:p>
        </w:tc>
        <w:tc>
          <w:tcPr>
            <w:tcW w:w="288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AE" w14:textId="77777777" w:rsidR="00AB4CD0" w:rsidRDefault="004C12C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Real-life Examples &amp; Cases</w:t>
            </w:r>
          </w:p>
        </w:tc>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AF" w14:textId="77777777" w:rsidR="00AB4CD0" w:rsidRDefault="004C12C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Target</w:t>
            </w:r>
          </w:p>
        </w:tc>
        <w:tc>
          <w:tcPr>
            <w:tcW w:w="1152"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B0" w14:textId="77777777" w:rsidR="00AB4CD0" w:rsidRDefault="004C12C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Source</w:t>
            </w:r>
          </w:p>
        </w:tc>
        <w:tc>
          <w:tcPr>
            <w:tcW w:w="288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0B1" w14:textId="77777777" w:rsidR="00AB4CD0" w:rsidRDefault="004C12C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Real-life Examples &amp; Cases</w:t>
            </w:r>
          </w:p>
        </w:tc>
      </w:tr>
      <w:tr w:rsidR="00AB4CD0" w14:paraId="07AEED62" w14:textId="77777777">
        <w:trPr>
          <w:trHeight w:val="1275"/>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B2" w14:textId="77777777" w:rsidR="00AB4CD0" w:rsidRDefault="004C12C0">
            <w:pPr>
              <w:ind w:left="140"/>
              <w:rPr>
                <w:rFonts w:ascii="Times New Roman" w:eastAsia="Times New Roman" w:hAnsi="Times New Roman" w:cs="Times New Roman"/>
                <w:sz w:val="16"/>
                <w:szCs w:val="16"/>
              </w:rPr>
            </w:pPr>
            <w:r>
              <w:rPr>
                <w:rFonts w:ascii="Times New Roman" w:eastAsia="Times New Roman" w:hAnsi="Times New Roman" w:cs="Times New Roman"/>
                <w:sz w:val="16"/>
                <w:szCs w:val="16"/>
              </w:rPr>
              <w:t>Retailer/ Platform</w:t>
            </w:r>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B3"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B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Boycotts / </w:t>
            </w:r>
            <w:proofErr w:type="spellStart"/>
            <w:r>
              <w:rPr>
                <w:rFonts w:ascii="Times New Roman" w:eastAsia="Times New Roman" w:hAnsi="Times New Roman" w:cs="Times New Roman"/>
                <w:sz w:val="16"/>
                <w:szCs w:val="16"/>
              </w:rPr>
              <w:t>Buycotts</w:t>
            </w:r>
            <w:proofErr w:type="spellEnd"/>
            <w:r>
              <w:rPr>
                <w:rFonts w:ascii="Times New Roman" w:eastAsia="Times New Roman" w:hAnsi="Times New Roman" w:cs="Times New Roman"/>
                <w:sz w:val="16"/>
                <w:szCs w:val="16"/>
              </w:rPr>
              <w:t>:</w:t>
            </w:r>
          </w:p>
          <w:p w14:paraId="000000B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-Analysis of 125 U.S. boycotts from 1978 to 2017, suggesting that boycotts had a negative effect on shareholder wealth (Tomlin 2019) </w:t>
            </w:r>
          </w:p>
          <w:p w14:paraId="000000B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-Boycott and </w:t>
            </w:r>
            <w:proofErr w:type="spellStart"/>
            <w:r>
              <w:rPr>
                <w:rFonts w:ascii="Times New Roman" w:eastAsia="Times New Roman" w:hAnsi="Times New Roman" w:cs="Times New Roman"/>
                <w:sz w:val="16"/>
                <w:szCs w:val="16"/>
              </w:rPr>
              <w:t>buycott</w:t>
            </w:r>
            <w:proofErr w:type="spellEnd"/>
            <w:r>
              <w:rPr>
                <w:rFonts w:ascii="Times New Roman" w:eastAsia="Times New Roman" w:hAnsi="Times New Roman" w:cs="Times New Roman"/>
                <w:sz w:val="16"/>
                <w:szCs w:val="16"/>
              </w:rPr>
              <w:t xml:space="preserve"> as a result of partisan consumer reactions triggered by the food brand Goya (</w:t>
            </w:r>
            <w:proofErr w:type="spellStart"/>
            <w:r>
              <w:rPr>
                <w:rFonts w:ascii="Times New Roman" w:eastAsia="Times New Roman" w:hAnsi="Times New Roman" w:cs="Times New Roman"/>
                <w:sz w:val="16"/>
                <w:szCs w:val="16"/>
              </w:rPr>
              <w:t>Liaukonytė</w:t>
            </w:r>
            <w:proofErr w:type="spellEnd"/>
            <w:r>
              <w:rPr>
                <w:rFonts w:ascii="Times New Roman" w:eastAsia="Times New Roman" w:hAnsi="Times New Roman" w:cs="Times New Roman"/>
                <w:sz w:val="16"/>
                <w:szCs w:val="16"/>
              </w:rPr>
              <w:t xml:space="preserve"> et al. 2023)</w:t>
            </w:r>
          </w:p>
          <w:p w14:paraId="000000B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roofErr w:type="spellStart"/>
            <w:r>
              <w:fldChar w:fldCharType="begin"/>
            </w:r>
            <w:r>
              <w:instrText xml:space="preserve"> HYPERLINK "https://carrotmob.org/about" \h </w:instrText>
            </w:r>
            <w:r>
              <w:fldChar w:fldCharType="separate"/>
            </w:r>
            <w:r>
              <w:rPr>
                <w:rFonts w:ascii="Times New Roman" w:eastAsia="Times New Roman" w:hAnsi="Times New Roman" w:cs="Times New Roman"/>
                <w:color w:val="1155CC"/>
                <w:sz w:val="16"/>
                <w:szCs w:val="16"/>
                <w:u w:val="single"/>
              </w:rPr>
              <w:t>Carrotmob</w:t>
            </w:r>
            <w:proofErr w:type="spellEnd"/>
            <w:r>
              <w:rPr>
                <w:rFonts w:ascii="Times New Roman" w:eastAsia="Times New Roman" w:hAnsi="Times New Roman" w:cs="Times New Roman"/>
                <w:color w:val="1155CC"/>
                <w:sz w:val="16"/>
                <w:szCs w:val="16"/>
                <w:u w:val="single"/>
              </w:rPr>
              <w:fldChar w:fldCharType="end"/>
            </w:r>
            <w:r>
              <w:rPr>
                <w:rFonts w:ascii="Times New Roman" w:eastAsia="Times New Roman" w:hAnsi="Times New Roman" w:cs="Times New Roman"/>
                <w:sz w:val="16"/>
                <w:szCs w:val="16"/>
              </w:rPr>
              <w:t xml:space="preserve"> as collective </w:t>
            </w:r>
            <w:proofErr w:type="spellStart"/>
            <w:r>
              <w:rPr>
                <w:rFonts w:ascii="Times New Roman" w:eastAsia="Times New Roman" w:hAnsi="Times New Roman" w:cs="Times New Roman"/>
                <w:sz w:val="16"/>
                <w:szCs w:val="16"/>
              </w:rPr>
              <w:t>buycott</w:t>
            </w:r>
            <w:proofErr w:type="spellEnd"/>
            <w:r>
              <w:rPr>
                <w:rFonts w:ascii="Times New Roman" w:eastAsia="Times New Roman" w:hAnsi="Times New Roman" w:cs="Times New Roman"/>
                <w:sz w:val="16"/>
                <w:szCs w:val="16"/>
              </w:rPr>
              <w:t xml:space="preserve"> at local stores to reward eco-friendly improvements.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B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Partners /</w:t>
            </w:r>
          </w:p>
          <w:p w14:paraId="000000B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Suppliers</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BA" w14:textId="77777777" w:rsidR="00AB4CD0" w:rsidRDefault="004C12C0">
            <w:pPr>
              <w:ind w:left="140"/>
              <w:rPr>
                <w:rFonts w:ascii="Times New Roman" w:eastAsia="Times New Roman" w:hAnsi="Times New Roman" w:cs="Times New Roman"/>
                <w:sz w:val="16"/>
                <w:szCs w:val="16"/>
              </w:rPr>
            </w:pPr>
            <w:r>
              <w:rPr>
                <w:rFonts w:ascii="Times New Roman" w:eastAsia="Times New Roman" w:hAnsi="Times New Roman" w:cs="Times New Roman"/>
                <w:sz w:val="16"/>
                <w:szCs w:val="16"/>
              </w:rPr>
              <w:t>Retailers / Platforms</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BB"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Introducing mandatory requirements, emission targets, or certifications:</w:t>
            </w:r>
            <w:r>
              <w:rPr>
                <w:rFonts w:ascii="Times New Roman" w:eastAsia="Times New Roman" w:hAnsi="Times New Roman" w:cs="Times New Roman"/>
                <w:sz w:val="16"/>
                <w:szCs w:val="16"/>
              </w:rPr>
              <w:br/>
              <w:t xml:space="preserve">- </w:t>
            </w:r>
            <w:hyperlink r:id="rId23">
              <w:proofErr w:type="spellStart"/>
              <w:r>
                <w:rPr>
                  <w:rFonts w:ascii="Times New Roman" w:eastAsia="Times New Roman" w:hAnsi="Times New Roman" w:cs="Times New Roman"/>
                  <w:color w:val="1155CC"/>
                  <w:sz w:val="16"/>
                  <w:szCs w:val="16"/>
                  <w:u w:val="single"/>
                </w:rPr>
                <w:t>do.MORE</w:t>
              </w:r>
              <w:proofErr w:type="spellEnd"/>
            </w:hyperlink>
            <w:r>
              <w:rPr>
                <w:rFonts w:ascii="Times New Roman" w:eastAsia="Times New Roman" w:hAnsi="Times New Roman" w:cs="Times New Roman"/>
                <w:sz w:val="16"/>
                <w:szCs w:val="16"/>
              </w:rPr>
              <w:t xml:space="preserve"> sustainability strategy by </w:t>
            </w:r>
            <w:proofErr w:type="spellStart"/>
            <w:r>
              <w:rPr>
                <w:rFonts w:ascii="Times New Roman" w:eastAsia="Times New Roman" w:hAnsi="Times New Roman" w:cs="Times New Roman"/>
                <w:sz w:val="16"/>
                <w:szCs w:val="16"/>
              </w:rPr>
              <w:t>Zalando</w:t>
            </w:r>
            <w:proofErr w:type="spellEnd"/>
            <w:r>
              <w:rPr>
                <w:rFonts w:ascii="Times New Roman" w:eastAsia="Times New Roman" w:hAnsi="Times New Roman" w:cs="Times New Roman"/>
                <w:sz w:val="16"/>
                <w:szCs w:val="16"/>
              </w:rPr>
              <w:t xml:space="preserve">, making </w:t>
            </w:r>
            <w:proofErr w:type="spellStart"/>
            <w:r>
              <w:rPr>
                <w:rFonts w:ascii="Times New Roman" w:eastAsia="Times New Roman" w:hAnsi="Times New Roman" w:cs="Times New Roman"/>
                <w:sz w:val="16"/>
                <w:szCs w:val="16"/>
              </w:rPr>
              <w:t>Higg</w:t>
            </w:r>
            <w:proofErr w:type="spellEnd"/>
            <w:r>
              <w:rPr>
                <w:rFonts w:ascii="Times New Roman" w:eastAsia="Times New Roman" w:hAnsi="Times New Roman" w:cs="Times New Roman"/>
                <w:sz w:val="16"/>
                <w:szCs w:val="16"/>
              </w:rPr>
              <w:t xml:space="preserve"> Brand &amp; Retail Module assessment mandatory for brands to sell on the platform (</w:t>
            </w:r>
            <w:proofErr w:type="spellStart"/>
            <w:r>
              <w:rPr>
                <w:rFonts w:ascii="Times New Roman" w:eastAsia="Times New Roman" w:hAnsi="Times New Roman" w:cs="Times New Roman"/>
                <w:sz w:val="16"/>
                <w:szCs w:val="16"/>
              </w:rPr>
              <w:t>Zalando</w:t>
            </w:r>
            <w:proofErr w:type="spellEnd"/>
            <w:r>
              <w:rPr>
                <w:rFonts w:ascii="Times New Roman" w:eastAsia="Times New Roman" w:hAnsi="Times New Roman" w:cs="Times New Roman"/>
                <w:sz w:val="16"/>
                <w:szCs w:val="16"/>
              </w:rPr>
              <w:t xml:space="preserve"> 2020).</w:t>
            </w:r>
          </w:p>
          <w:p w14:paraId="000000B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Etsy’s net-zero targets and mandatory sustainability standards for its marketplace to achieve carbon-neutral de</w:t>
            </w:r>
            <w:r>
              <w:rPr>
                <w:rFonts w:ascii="Times New Roman" w:eastAsia="Times New Roman" w:hAnsi="Times New Roman" w:cs="Times New Roman"/>
                <w:sz w:val="16"/>
                <w:szCs w:val="16"/>
              </w:rPr>
              <w:t>livery and increase the adoption of eco-friendly materials among sellers (Eco-Act 2025).</w:t>
            </w:r>
          </w:p>
          <w:p w14:paraId="000000B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Booking.com’s</w:t>
            </w:r>
            <w:proofErr w:type="spellEnd"/>
            <w:r>
              <w:rPr>
                <w:rFonts w:ascii="Times New Roman" w:eastAsia="Times New Roman" w:hAnsi="Times New Roman" w:cs="Times New Roman"/>
                <w:sz w:val="16"/>
                <w:szCs w:val="16"/>
              </w:rPr>
              <w:t xml:space="preserve"> Sustainability Handbook for its accommodation partners, setting environmental baselines and achieving recognized eco-certifications (Booking 2022). </w:t>
            </w:r>
          </w:p>
          <w:p w14:paraId="000000BE"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-A</w:t>
            </w:r>
            <w:r>
              <w:rPr>
                <w:rFonts w:ascii="Times New Roman" w:eastAsia="Times New Roman" w:hAnsi="Times New Roman" w:cs="Times New Roman"/>
                <w:sz w:val="16"/>
                <w:szCs w:val="16"/>
              </w:rPr>
              <w:t>mazon’s Climate Pledge Friendly program incentivizes sellers to meet sustainability standards or earn trusted certifications by boosting product visibility (Amazon 2020).</w:t>
            </w:r>
          </w:p>
          <w:p w14:paraId="000000BF"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w:t>
            </w:r>
            <w:hyperlink r:id="rId24">
              <w:r>
                <w:rPr>
                  <w:rFonts w:ascii="Times New Roman" w:eastAsia="Times New Roman" w:hAnsi="Times New Roman" w:cs="Times New Roman"/>
                  <w:color w:val="1155CC"/>
                  <w:sz w:val="16"/>
                  <w:szCs w:val="16"/>
                  <w:u w:val="single"/>
                </w:rPr>
                <w:t>Uber Eats</w:t>
              </w:r>
            </w:hyperlink>
            <w:r>
              <w:rPr>
                <w:rFonts w:ascii="Times New Roman" w:eastAsia="Times New Roman" w:hAnsi="Times New Roman" w:cs="Times New Roman"/>
                <w:sz w:val="16"/>
                <w:szCs w:val="16"/>
              </w:rPr>
              <w:t>’ “Delivering a Greener Future” initiative, incentivizing restaurant partners to adopt sustainable packaging through subsidies, grants.</w:t>
            </w:r>
          </w:p>
        </w:tc>
      </w:tr>
      <w:tr w:rsidR="00AB4CD0" w14:paraId="5CD57110" w14:textId="77777777">
        <w:trPr>
          <w:trHeight w:val="825"/>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C0"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Retailer/ Platform</w:t>
            </w:r>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1"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Customer</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2"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Customer Feedback Shaping Platform Features and Policies</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C3"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Suppliers</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4"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Retailers </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Walmart’s Project Gigaton, pledging to cut/avoid one billion metric tons of emissions across their operations and supply chains by 2030 (Walmart 2025).</w:t>
            </w:r>
          </w:p>
        </w:tc>
      </w:tr>
      <w:tr w:rsidR="00AB4CD0" w14:paraId="035F4FF4" w14:textId="77777777">
        <w:trPr>
          <w:trHeight w:val="1734"/>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C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Retailer/ Platform</w:t>
            </w:r>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7"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Advocacy group (</w:t>
            </w:r>
            <w:hyperlink r:id="rId25">
              <w:r>
                <w:rPr>
                  <w:rFonts w:ascii="Times New Roman" w:eastAsia="Times New Roman" w:hAnsi="Times New Roman" w:cs="Times New Roman"/>
                  <w:color w:val="1155CC"/>
                  <w:sz w:val="16"/>
                  <w:szCs w:val="16"/>
                  <w:u w:val="single"/>
                </w:rPr>
                <w:t>PIRG</w:t>
              </w:r>
            </w:hyperlink>
            <w:r>
              <w:rPr>
                <w:rFonts w:ascii="Times New Roman" w:eastAsia="Times New Roman" w:hAnsi="Times New Roman" w:cs="Times New Roman"/>
                <w:sz w:val="16"/>
                <w:szCs w:val="16"/>
              </w:rPr>
              <w:t>) delivered over 138,000 petition signatures urging Amazon to change packaging practices (Rosenblatt 2024)</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C9"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Public companies</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A"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Institutional investors, Nonprofit Organizations, Coalitions</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CB"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Shareholder demanding transparency: </w:t>
            </w:r>
          </w:p>
          <w:p w14:paraId="000000C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The </w:t>
            </w:r>
            <w:hyperlink r:id="rId26">
              <w:r>
                <w:rPr>
                  <w:rFonts w:ascii="Times New Roman" w:eastAsia="Times New Roman" w:hAnsi="Times New Roman" w:cs="Times New Roman"/>
                  <w:color w:val="1155CC"/>
                  <w:sz w:val="16"/>
                  <w:szCs w:val="16"/>
                  <w:u w:val="single"/>
                </w:rPr>
                <w:t>Climate Action 100+ initiative</w:t>
              </w:r>
            </w:hyperlink>
            <w:r>
              <w:rPr>
                <w:rFonts w:ascii="Times New Roman" w:eastAsia="Times New Roman" w:hAnsi="Times New Roman" w:cs="Times New Roman"/>
                <w:sz w:val="16"/>
                <w:szCs w:val="16"/>
              </w:rPr>
              <w:t xml:space="preserve"> ensures that the world’s largest corporate greenhouse gas emitters </w:t>
            </w:r>
            <w:proofErr w:type="gramStart"/>
            <w:r>
              <w:rPr>
                <w:rFonts w:ascii="Times New Roman" w:eastAsia="Times New Roman" w:hAnsi="Times New Roman" w:cs="Times New Roman"/>
                <w:sz w:val="16"/>
                <w:szCs w:val="16"/>
              </w:rPr>
              <w:t>take action</w:t>
            </w:r>
            <w:proofErr w:type="gramEnd"/>
            <w:r>
              <w:rPr>
                <w:rFonts w:ascii="Times New Roman" w:eastAsia="Times New Roman" w:hAnsi="Times New Roman" w:cs="Times New Roman"/>
                <w:sz w:val="16"/>
                <w:szCs w:val="16"/>
              </w:rPr>
              <w:t xml:space="preserve"> on climate change</w:t>
            </w:r>
          </w:p>
          <w:p w14:paraId="000000C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Carbon Disclosure Project (CDP) asks top-level management of publicly traded companies to volun</w:t>
            </w:r>
            <w:r>
              <w:rPr>
                <w:rFonts w:ascii="Times New Roman" w:eastAsia="Times New Roman" w:hAnsi="Times New Roman" w:cs="Times New Roman"/>
                <w:sz w:val="16"/>
                <w:szCs w:val="16"/>
              </w:rPr>
              <w:t>tarily disclose climate change-related risks and opportunities (Flammer et al. 2021).</w:t>
            </w:r>
          </w:p>
        </w:tc>
      </w:tr>
      <w:tr w:rsidR="00AB4CD0" w14:paraId="7A8AEEA5" w14:textId="77777777">
        <w:trPr>
          <w:trHeight w:val="774"/>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CE"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Politicians </w:t>
            </w:r>
          </w:p>
          <w:p w14:paraId="000000CF"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Parties / Govern-</w:t>
            </w:r>
          </w:p>
          <w:p w14:paraId="000000D0" w14:textId="77777777" w:rsidR="00AB4CD0" w:rsidRDefault="004C12C0">
            <w:pP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ments</w:t>
            </w:r>
            <w:proofErr w:type="spellEnd"/>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D1"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D2"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Mass protests (e.g. the “Fridays for Future” Movement)</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D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Manufacturers / Companies</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D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Governments / Executive bodies</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D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International carbon markets/trading systems:</w:t>
            </w:r>
          </w:p>
          <w:p w14:paraId="000000D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hyperlink r:id="rId27">
              <w:r>
                <w:rPr>
                  <w:rFonts w:ascii="Times New Roman" w:eastAsia="Times New Roman" w:hAnsi="Times New Roman" w:cs="Times New Roman"/>
                  <w:color w:val="1155CC"/>
                  <w:sz w:val="16"/>
                  <w:szCs w:val="16"/>
                  <w:u w:val="single"/>
                </w:rPr>
                <w:t>EU Emissions Trading System</w:t>
              </w:r>
            </w:hyperlink>
            <w:r>
              <w:rPr>
                <w:rFonts w:ascii="Times New Roman" w:eastAsia="Times New Roman" w:hAnsi="Times New Roman" w:cs="Times New Roman"/>
                <w:sz w:val="16"/>
                <w:szCs w:val="16"/>
              </w:rPr>
              <w:t xml:space="preserve">, using “cap and trade” principle, ensuring emissions decrease over time in line with EU targets </w:t>
            </w:r>
          </w:p>
        </w:tc>
      </w:tr>
      <w:tr w:rsidR="00AB4CD0" w14:paraId="3EF23A2F" w14:textId="77777777">
        <w:trPr>
          <w:trHeight w:val="1194"/>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D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Retailer</w:t>
            </w:r>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D8"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D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Pledges/targets to meet consumer demand:</w:t>
            </w:r>
          </w:p>
          <w:p w14:paraId="000000D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-Walmart announced 100% recyclable, reusable, or compostable packaging for private-brand products (Walmart</w:t>
            </w:r>
            <w:hyperlink r:id="rId28">
              <w:r>
                <w:rPr>
                  <w:rFonts w:ascii="Times New Roman" w:eastAsia="Times New Roman" w:hAnsi="Times New Roman" w:cs="Times New Roman"/>
                  <w:sz w:val="16"/>
                  <w:szCs w:val="16"/>
                </w:rPr>
                <w:t xml:space="preserve"> </w:t>
              </w:r>
            </w:hyperlink>
            <w:hyperlink r:id="rId29">
              <w:r>
                <w:rPr>
                  <w:rFonts w:ascii="Times New Roman" w:eastAsia="Times New Roman" w:hAnsi="Times New Roman" w:cs="Times New Roman"/>
                  <w:color w:val="467886"/>
                  <w:sz w:val="16"/>
                  <w:szCs w:val="16"/>
                  <w:u w:val="single"/>
                </w:rPr>
                <w:t>2019</w:t>
              </w:r>
            </w:hyperlink>
            <w:r>
              <w:rPr>
                <w:rFonts w:ascii="Times New Roman" w:eastAsia="Times New Roman" w:hAnsi="Times New Roman" w:cs="Times New Roman"/>
                <w:sz w:val="16"/>
                <w:szCs w:val="16"/>
              </w:rPr>
              <w:t>).</w:t>
            </w:r>
          </w:p>
          <w:p w14:paraId="000000DB"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hyperlink r:id="rId30">
              <w:r>
                <w:rPr>
                  <w:rFonts w:ascii="Times New Roman" w:eastAsia="Times New Roman" w:hAnsi="Times New Roman" w:cs="Times New Roman"/>
                  <w:color w:val="1155CC"/>
                  <w:sz w:val="16"/>
                  <w:szCs w:val="16"/>
                  <w:u w:val="single"/>
                </w:rPr>
                <w:t>Zomato</w:t>
              </w:r>
            </w:hyperlink>
            <w:r>
              <w:rPr>
                <w:rFonts w:ascii="Times New Roman" w:eastAsia="Times New Roman" w:hAnsi="Times New Roman" w:cs="Times New Roman"/>
                <w:sz w:val="16"/>
                <w:szCs w:val="16"/>
              </w:rPr>
              <w:t xml:space="preserve"> setting “opt-in” defaults for cutlery, tissues</w:t>
            </w:r>
            <w:r>
              <w:rPr>
                <w:rFonts w:ascii="Times New Roman" w:eastAsia="Times New Roman" w:hAnsi="Times New Roman" w:cs="Times New Roman"/>
                <w:sz w:val="16"/>
                <w:szCs w:val="16"/>
              </w:rPr>
              <w:t xml:space="preserve">, and straws.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D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Companies</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DD"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State government</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DE"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Regulatory frameworks/Legislation/bills:</w:t>
            </w:r>
            <w:r>
              <w:rPr>
                <w:rFonts w:ascii="Times New Roman" w:eastAsia="Times New Roman" w:hAnsi="Times New Roman" w:cs="Times New Roman"/>
                <w:sz w:val="16"/>
                <w:szCs w:val="16"/>
              </w:rPr>
              <w:br/>
              <w:t xml:space="preserve">- </w:t>
            </w:r>
            <w:hyperlink r:id="rId31">
              <w:r>
                <w:rPr>
                  <w:rFonts w:ascii="Times New Roman" w:eastAsia="Times New Roman" w:hAnsi="Times New Roman" w:cs="Times New Roman"/>
                  <w:color w:val="1155CC"/>
                  <w:sz w:val="16"/>
                  <w:szCs w:val="16"/>
                  <w:u w:val="single"/>
                </w:rPr>
                <w:t>New York Fashion Act</w:t>
              </w:r>
            </w:hyperlink>
            <w:r>
              <w:rPr>
                <w:rFonts w:ascii="Times New Roman" w:eastAsia="Times New Roman" w:hAnsi="Times New Roman" w:cs="Times New Roman"/>
                <w:sz w:val="16"/>
                <w:szCs w:val="16"/>
              </w:rPr>
              <w:t xml:space="preserve">, requiring companies to disclose supply chain impacts and achieve reductions </w:t>
            </w:r>
            <w:r>
              <w:rPr>
                <w:rFonts w:ascii="Times New Roman" w:eastAsia="Times New Roman" w:hAnsi="Times New Roman" w:cs="Times New Roman"/>
                <w:sz w:val="16"/>
                <w:szCs w:val="16"/>
              </w:rPr>
              <w:t>in line with the Paris Agreement.</w:t>
            </w:r>
          </w:p>
          <w:p w14:paraId="000000DF"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In 2023 the </w:t>
            </w:r>
            <w:hyperlink r:id="rId32">
              <w:r>
                <w:rPr>
                  <w:rFonts w:ascii="Times New Roman" w:eastAsia="Times New Roman" w:hAnsi="Times New Roman" w:cs="Times New Roman"/>
                  <w:color w:val="1155CC"/>
                  <w:sz w:val="16"/>
                  <w:szCs w:val="16"/>
                  <w:u w:val="single"/>
                </w:rPr>
                <w:t>UK government</w:t>
              </w:r>
            </w:hyperlink>
            <w:r>
              <w:rPr>
                <w:rFonts w:ascii="Times New Roman" w:eastAsia="Times New Roman" w:hAnsi="Times New Roman" w:cs="Times New Roman"/>
                <w:sz w:val="16"/>
                <w:szCs w:val="16"/>
              </w:rPr>
              <w:t xml:space="preserve"> banned "single-use plastics" in England</w:t>
            </w:r>
          </w:p>
        </w:tc>
      </w:tr>
      <w:tr w:rsidR="00AB4CD0" w14:paraId="6DAEFBDB" w14:textId="77777777">
        <w:trPr>
          <w:trHeight w:val="1185"/>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E0"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Platform</w:t>
            </w:r>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E1"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E2"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Dedicated programs to Offering sustainable products or services</w:t>
            </w:r>
          </w:p>
          <w:p w14:paraId="000000E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hyperlink r:id="rId33">
              <w:r>
                <w:rPr>
                  <w:rFonts w:ascii="Times New Roman" w:eastAsia="Times New Roman" w:hAnsi="Times New Roman" w:cs="Times New Roman"/>
                  <w:color w:val="1155CC"/>
                  <w:sz w:val="16"/>
                  <w:szCs w:val="16"/>
                  <w:u w:val="single"/>
                </w:rPr>
                <w:t>eBay</w:t>
              </w:r>
            </w:hyperlink>
            <w:r>
              <w:rPr>
                <w:rFonts w:ascii="Times New Roman" w:eastAsia="Times New Roman" w:hAnsi="Times New Roman" w:cs="Times New Roman"/>
                <w:sz w:val="16"/>
                <w:szCs w:val="16"/>
              </w:rPr>
              <w:t xml:space="preserve"> launching its Certified R</w:t>
            </w:r>
            <w:r>
              <w:rPr>
                <w:rFonts w:ascii="Times New Roman" w:eastAsia="Times New Roman" w:hAnsi="Times New Roman" w:cs="Times New Roman"/>
                <w:sz w:val="16"/>
                <w:szCs w:val="16"/>
              </w:rPr>
              <w:t xml:space="preserve">efurbished program, introducing platform enhancements and compelling merchants to participate in the program.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E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Govern-</w:t>
            </w:r>
            <w:proofErr w:type="spellStart"/>
            <w:r>
              <w:rPr>
                <w:rFonts w:ascii="Times New Roman" w:eastAsia="Times New Roman" w:hAnsi="Times New Roman" w:cs="Times New Roman"/>
                <w:sz w:val="16"/>
                <w:szCs w:val="16"/>
              </w:rPr>
              <w:t>ments</w:t>
            </w:r>
            <w:proofErr w:type="spellEnd"/>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E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Governments/ inter-</w:t>
            </w:r>
          </w:p>
          <w:p w14:paraId="000000E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governmental agencies</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E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International treaties (e.g., </w:t>
            </w:r>
            <w:hyperlink r:id="rId34">
              <w:r>
                <w:rPr>
                  <w:rFonts w:ascii="Times New Roman" w:eastAsia="Times New Roman" w:hAnsi="Times New Roman" w:cs="Times New Roman"/>
                  <w:color w:val="1155CC"/>
                  <w:sz w:val="16"/>
                  <w:szCs w:val="16"/>
                  <w:u w:val="single"/>
                </w:rPr>
                <w:t>Paris Agreement</w:t>
              </w:r>
            </w:hyperlink>
            <w:r>
              <w:rPr>
                <w:rFonts w:ascii="Times New Roman" w:eastAsia="Times New Roman" w:hAnsi="Times New Roman" w:cs="Times New Roman"/>
                <w:sz w:val="16"/>
                <w:szCs w:val="16"/>
              </w:rPr>
              <w:t xml:space="preserve">) </w:t>
            </w:r>
          </w:p>
        </w:tc>
      </w:tr>
      <w:tr w:rsidR="00AB4CD0" w14:paraId="6D00F824" w14:textId="77777777">
        <w:trPr>
          <w:trHeight w:val="759"/>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E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Platform</w:t>
            </w:r>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E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Consumer </w:t>
            </w:r>
          </w:p>
        </w:tc>
        <w:tc>
          <w:tcPr>
            <w:tcW w:w="28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EA"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Consumer pressure on Retailers:</w:t>
            </w:r>
          </w:p>
          <w:p w14:paraId="000000EB" w14:textId="77777777" w:rsidR="00AB4CD0" w:rsidRDefault="004C12C0">
            <w:pPr>
              <w:jc w:val="both"/>
              <w:rPr>
                <w:rFonts w:ascii="Times New Roman" w:eastAsia="Times New Roman" w:hAnsi="Times New Roman" w:cs="Times New Roman"/>
                <w:sz w:val="16"/>
                <w:szCs w:val="16"/>
              </w:rPr>
            </w:pPr>
            <w:hyperlink r:id="rId35">
              <w:r>
                <w:rPr>
                  <w:rFonts w:ascii="Times New Roman" w:eastAsia="Times New Roman" w:hAnsi="Times New Roman" w:cs="Times New Roman"/>
                  <w:color w:val="1155CC"/>
                  <w:sz w:val="16"/>
                  <w:szCs w:val="16"/>
                  <w:u w:val="single"/>
                </w:rPr>
                <w:t>Amazon</w:t>
              </w:r>
            </w:hyperlink>
            <w:r>
              <w:rPr>
                <w:rFonts w:ascii="Times New Roman" w:eastAsia="Times New Roman" w:hAnsi="Times New Roman" w:cs="Times New Roman"/>
                <w:sz w:val="16"/>
                <w:szCs w:val="16"/>
              </w:rPr>
              <w:t xml:space="preserve"> announced a commitment to reduce single-use plastic packaging and develop recyclable alternatives.</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E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Companies</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E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Platform</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EE"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Microsoft’s </w:t>
            </w:r>
            <w:hyperlink r:id="rId36">
              <w:r>
                <w:rPr>
                  <w:rFonts w:ascii="Times New Roman" w:eastAsia="Times New Roman" w:hAnsi="Times New Roman" w:cs="Times New Roman"/>
                  <w:color w:val="1155CC"/>
                  <w:sz w:val="16"/>
                  <w:szCs w:val="16"/>
                  <w:u w:val="single"/>
                </w:rPr>
                <w:t>“Cloud for Sustainability”</w:t>
              </w:r>
            </w:hyperlink>
            <w:r>
              <w:rPr>
                <w:rFonts w:ascii="Times New Roman" w:eastAsia="Times New Roman" w:hAnsi="Times New Roman" w:cs="Times New Roman"/>
                <w:sz w:val="16"/>
                <w:szCs w:val="16"/>
              </w:rPr>
              <w:t xml:space="preserve"> in response to regulatory pressure, co- developing features with major retailers.</w:t>
            </w:r>
          </w:p>
        </w:tc>
      </w:tr>
      <w:tr w:rsidR="00AB4CD0" w14:paraId="593C7962" w14:textId="77777777">
        <w:trPr>
          <w:trHeight w:val="765"/>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EF"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Retailer/ Supplier / Platform</w:t>
            </w:r>
          </w:p>
        </w:tc>
        <w:tc>
          <w:tcPr>
            <w:tcW w:w="100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F0" w14:textId="77777777" w:rsidR="00AB4CD0" w:rsidRDefault="004C12C0">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Employee</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F1"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Internal employee-driven advocacy for sustainable practices:</w:t>
            </w:r>
          </w:p>
          <w:p w14:paraId="000000F2"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hyperlink r:id="rId37">
              <w:r>
                <w:rPr>
                  <w:rFonts w:ascii="Times New Roman" w:eastAsia="Times New Roman" w:hAnsi="Times New Roman" w:cs="Times New Roman"/>
                  <w:color w:val="1155CC"/>
                  <w:sz w:val="16"/>
                  <w:szCs w:val="16"/>
                  <w:u w:val="single"/>
                </w:rPr>
                <w:t>Starbucks</w:t>
              </w:r>
            </w:hyperlink>
            <w:r>
              <w:rPr>
                <w:rFonts w:ascii="Times New Roman" w:eastAsia="Times New Roman" w:hAnsi="Times New Roman" w:cs="Times New Roman"/>
                <w:sz w:val="16"/>
                <w:szCs w:val="16"/>
              </w:rPr>
              <w:t xml:space="preserve"> employees initiating donation program of unsold food to charity.</w:t>
            </w:r>
          </w:p>
          <w:p w14:paraId="000000F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hyperlink r:id="rId38">
              <w:r>
                <w:rPr>
                  <w:rFonts w:ascii="Times New Roman" w:eastAsia="Times New Roman" w:hAnsi="Times New Roman" w:cs="Times New Roman"/>
                  <w:color w:val="1155CC"/>
                  <w:sz w:val="16"/>
                  <w:szCs w:val="16"/>
                  <w:u w:val="single"/>
                </w:rPr>
                <w:t>M&amp;S</w:t>
              </w:r>
            </w:hyperlink>
            <w:r>
              <w:rPr>
                <w:rFonts w:ascii="Times New Roman" w:eastAsia="Times New Roman" w:hAnsi="Times New Roman" w:cs="Times New Roman"/>
                <w:sz w:val="16"/>
                <w:szCs w:val="16"/>
              </w:rPr>
              <w:t xml:space="preserve"> employee suggestions to remove paper return slips from online parcels. </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0F4"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Retailer(s)</w:t>
            </w:r>
          </w:p>
        </w:tc>
        <w:tc>
          <w:tcPr>
            <w:tcW w:w="115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F5" w14:textId="77777777" w:rsidR="00AB4CD0" w:rsidRDefault="004C12C0">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Retailer Collective / Alliance</w:t>
            </w:r>
          </w:p>
        </w:tc>
        <w:tc>
          <w:tcPr>
            <w:tcW w:w="28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F6" w14:textId="77777777" w:rsidR="00AB4CD0" w:rsidRDefault="004C12C0">
            <w:pPr>
              <w:rPr>
                <w:rFonts w:ascii="Times New Roman" w:eastAsia="Times New Roman" w:hAnsi="Times New Roman" w:cs="Times New Roman"/>
                <w:sz w:val="16"/>
                <w:szCs w:val="16"/>
              </w:rPr>
            </w:pPr>
            <w:hyperlink r:id="rId39">
              <w:r>
                <w:rPr>
                  <w:rFonts w:ascii="Times New Roman" w:eastAsia="Times New Roman" w:hAnsi="Times New Roman" w:cs="Times New Roman"/>
                  <w:color w:val="1155CC"/>
                  <w:sz w:val="16"/>
                  <w:szCs w:val="16"/>
                  <w:u w:val="single"/>
                </w:rPr>
                <w:t>Retail Sustainability Collective</w:t>
              </w:r>
            </w:hyperlink>
            <w:r>
              <w:rPr>
                <w:rFonts w:ascii="Times New Roman" w:eastAsia="Times New Roman" w:hAnsi="Times New Roman" w:cs="Times New Roman"/>
                <w:sz w:val="16"/>
                <w:szCs w:val="16"/>
              </w:rPr>
              <w:t xml:space="preserve"> of competing retailers shares metrics and best practices to set industry benchmarks and push adoption of new standards.</w:t>
            </w:r>
          </w:p>
        </w:tc>
      </w:tr>
    </w:tbl>
    <w:p w14:paraId="000000F7" w14:textId="77777777" w:rsidR="00AB4CD0" w:rsidRDefault="00AB4CD0">
      <w:pPr>
        <w:spacing w:before="120" w:line="480" w:lineRule="auto"/>
        <w:rPr>
          <w:rFonts w:ascii="Times New Roman" w:eastAsia="Times New Roman" w:hAnsi="Times New Roman" w:cs="Times New Roman"/>
        </w:rPr>
      </w:pPr>
    </w:p>
    <w:p w14:paraId="000000F8" w14:textId="77777777" w:rsidR="00AB4CD0" w:rsidRDefault="004C12C0">
      <w:pPr>
        <w:spacing w:before="120" w:after="120" w:line="480" w:lineRule="auto"/>
        <w:jc w:val="both"/>
        <w:rPr>
          <w:rFonts w:ascii="Times New Roman" w:eastAsia="Times New Roman" w:hAnsi="Times New Roman" w:cs="Times New Roman"/>
          <w:i/>
          <w:iCs/>
        </w:rPr>
      </w:pPr>
      <w:r>
        <w:rPr>
          <w:rFonts w:ascii="Times New Roman" w:eastAsia="Times New Roman" w:hAnsi="Times New Roman" w:cs="Times New Roman"/>
        </w:rPr>
        <w:t>distribution and logistics configurations, and customer engagement programs. The specific decision types vary by actor: retailers make merchandising and supply chain decisions, consumers make purchase and disposal choices, platforms set participation stand</w:t>
      </w:r>
      <w:r>
        <w:rPr>
          <w:rFonts w:ascii="Times New Roman" w:eastAsia="Times New Roman" w:hAnsi="Times New Roman" w:cs="Times New Roman"/>
        </w:rPr>
        <w:t>ards and visibility algorithms, while regulators establish compliance requirements and incentive structures.</w:t>
      </w:r>
    </w:p>
    <w:p w14:paraId="000000F9" w14:textId="77777777" w:rsidR="00AB4CD0" w:rsidRDefault="004C12C0">
      <w:pPr>
        <w:spacing w:before="120" w:line="480" w:lineRule="auto"/>
        <w:rPr>
          <w:rFonts w:ascii="Times New Roman" w:eastAsia="Times New Roman" w:hAnsi="Times New Roman" w:cs="Times New Roman"/>
          <w:b/>
          <w:bCs/>
        </w:rPr>
      </w:pPr>
      <w:r>
        <w:rPr>
          <w:rFonts w:ascii="Times New Roman" w:eastAsia="Times New Roman" w:hAnsi="Times New Roman" w:cs="Times New Roman"/>
          <w:i/>
          <w:iCs/>
        </w:rPr>
        <w:t>2.3. The second stage: Intervention’s feasibility and impact</w:t>
      </w:r>
    </w:p>
    <w:p w14:paraId="000000FA"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Our framework’s first stage helps classify a large set of interventions while staying focused on who is persuading whom (i.e., source vs. target) and at what level (i.e., along a continuum </w:t>
      </w:r>
      <w:r>
        <w:rPr>
          <w:rFonts w:ascii="Times New Roman" w:eastAsia="Times New Roman" w:hAnsi="Times New Roman" w:cs="Times New Roman"/>
        </w:rPr>
        <w:lastRenderedPageBreak/>
        <w:t>varying from micro to macro). However, when deciding which interven</w:t>
      </w:r>
      <w:r>
        <w:rPr>
          <w:rFonts w:ascii="Times New Roman" w:eastAsia="Times New Roman" w:hAnsi="Times New Roman" w:cs="Times New Roman"/>
        </w:rPr>
        <w:t>tions to implement, a decision-maker must consider an intervention's (1) feasibility and (2) impact.</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An intervention’s </w:t>
      </w:r>
      <w:r>
        <w:rPr>
          <w:rFonts w:ascii="Times New Roman" w:eastAsia="Times New Roman" w:hAnsi="Times New Roman" w:cs="Times New Roman"/>
          <w:i/>
          <w:iCs/>
        </w:rPr>
        <w:t>feasibility</w:t>
      </w:r>
      <w:r>
        <w:rPr>
          <w:rFonts w:ascii="Times New Roman" w:eastAsia="Times New Roman" w:hAnsi="Times New Roman" w:cs="Times New Roman"/>
        </w:rPr>
        <w:t xml:space="preserve"> refers to the ease of implementation, the target’s resistance to behavioral change, political dynamics, and/or technical or </w:t>
      </w:r>
      <w:r>
        <w:rPr>
          <w:rFonts w:ascii="Times New Roman" w:eastAsia="Times New Roman" w:hAnsi="Times New Roman" w:cs="Times New Roman"/>
        </w:rPr>
        <w:t>legal barriers. Even if the target is receptive to change, the larger sociopolitical environment may prevent a successful implementation. In short, feasibility captures the practical likelihood that a given intervention can be successfully designed, deploy</w:t>
      </w:r>
      <w:r>
        <w:rPr>
          <w:rFonts w:ascii="Times New Roman" w:eastAsia="Times New Roman" w:hAnsi="Times New Roman" w:cs="Times New Roman"/>
        </w:rPr>
        <w:t xml:space="preserve">ed, and sustained within its specific retail context. An intervention's potential environmental </w:t>
      </w:r>
      <w:r>
        <w:rPr>
          <w:rFonts w:ascii="Times New Roman" w:eastAsia="Times New Roman" w:hAnsi="Times New Roman" w:cs="Times New Roman"/>
          <w:i/>
          <w:iCs/>
        </w:rPr>
        <w:t>impact</w:t>
      </w:r>
      <w:r>
        <w:rPr>
          <w:rFonts w:ascii="Times New Roman" w:eastAsia="Times New Roman" w:hAnsi="Times New Roman" w:cs="Times New Roman"/>
        </w:rPr>
        <w:t>—such as reduced GHG emissions—varies significantly across behavioral domains (waste, transportation, energy, food).</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While climate impact is often measur</w:t>
      </w:r>
      <w:r>
        <w:rPr>
          <w:rFonts w:ascii="Times New Roman" w:eastAsia="Times New Roman" w:hAnsi="Times New Roman" w:cs="Times New Roman"/>
        </w:rPr>
        <w:t xml:space="preserve">ed in terms of emissions, environmental benefits also include reduced water use, eutrophication, biodiversity loss, and improved ecological footprint. Ideally the absolute environmental impacts associated with an intervention would be assessed from a full </w:t>
      </w:r>
      <w:r>
        <w:rPr>
          <w:rFonts w:ascii="Times New Roman" w:eastAsia="Times New Roman" w:hAnsi="Times New Roman" w:cs="Times New Roman"/>
        </w:rPr>
        <w:t xml:space="preserve">lifecycle perspective using established methods such as life cycle assessment (LCA) or related methods such as carbon </w:t>
      </w:r>
      <w:proofErr w:type="spellStart"/>
      <w:r>
        <w:rPr>
          <w:rFonts w:ascii="Times New Roman" w:eastAsia="Times New Roman" w:hAnsi="Times New Roman" w:cs="Times New Roman"/>
        </w:rPr>
        <w:t>footprinting</w:t>
      </w:r>
      <w:proofErr w:type="spellEnd"/>
      <w:r>
        <w:rPr>
          <w:rFonts w:ascii="Times New Roman" w:eastAsia="Times New Roman" w:hAnsi="Times New Roman" w:cs="Times New Roman"/>
        </w:rPr>
        <w:t xml:space="preserve"> or environmentally extended input-output analysis (EIO). However, resource constraints, data limitations, and practical consi</w:t>
      </w:r>
      <w:r>
        <w:rPr>
          <w:rFonts w:ascii="Times New Roman" w:eastAsia="Times New Roman" w:hAnsi="Times New Roman" w:cs="Times New Roman"/>
        </w:rPr>
        <w:t>derations often make comprehensive lifecycle assessments unfeasible, leading practitioners to rely on simplified models or literature-based estimates. For example, Ivanova et al. (2020) summarized mitigation potentials across key consumption areas includin</w:t>
      </w:r>
      <w:r>
        <w:rPr>
          <w:rFonts w:ascii="Times New Roman" w:eastAsia="Times New Roman" w:hAnsi="Times New Roman" w:cs="Times New Roman"/>
        </w:rPr>
        <w:t xml:space="preserve">g food, </w:t>
      </w:r>
      <w:r>
        <w:rPr>
          <w:rFonts w:ascii="Times New Roman" w:eastAsia="Times New Roman" w:hAnsi="Times New Roman" w:cs="Times New Roman"/>
        </w:rPr>
        <w:lastRenderedPageBreak/>
        <w:t>housing, and transport. While detailed cost data for individual interventions are rarely available, we discuss relative feasibility and impact and reference relevant insights from related disciplines, including economics, management, and environmen</w:t>
      </w:r>
      <w:r>
        <w:rPr>
          <w:rFonts w:ascii="Times New Roman" w:eastAsia="Times New Roman" w:hAnsi="Times New Roman" w:cs="Times New Roman"/>
        </w:rPr>
        <w:t>tal science.</w:t>
      </w:r>
    </w:p>
    <w:p w14:paraId="000000FB" w14:textId="77777777" w:rsidR="00AB4CD0" w:rsidRDefault="004C12C0">
      <w:pPr>
        <w:spacing w:before="120" w:line="480" w:lineRule="auto"/>
        <w:ind w:firstLine="720"/>
        <w:jc w:val="both"/>
        <w:rPr>
          <w:rFonts w:ascii="Times New Roman" w:eastAsia="Times New Roman" w:hAnsi="Times New Roman" w:cs="Times New Roman"/>
        </w:rPr>
      </w:pPr>
      <w:sdt>
        <w:sdtPr>
          <w:tag w:val="goog_rdk_14"/>
          <w:id w:val="343592354"/>
        </w:sdtPr>
        <w:sdtEndPr/>
        <w:sdtContent>
          <w:r>
            <w:rPr>
              <w:rFonts w:ascii="Cardo" w:eastAsia="Cardo" w:hAnsi="Cardo" w:cs="Cardo"/>
            </w:rPr>
            <w:t xml:space="preserve">Consider the example of a retail food outlet seeking to influence consumer behavior (macro → micro). Implementing a program to encourage the use of reusable coffee cups may be relatively straightforward and quickly adopted by customers. However, the </w:t>
          </w:r>
        </w:sdtContent>
      </w:sdt>
      <w:r>
        <w:rPr>
          <w:rFonts w:ascii="Times New Roman" w:eastAsia="Times New Roman" w:hAnsi="Times New Roman" w:cs="Times New Roman"/>
        </w:rPr>
        <w:t>prog</w:t>
      </w:r>
      <w:r>
        <w:rPr>
          <w:rFonts w:ascii="Times New Roman" w:eastAsia="Times New Roman" w:hAnsi="Times New Roman" w:cs="Times New Roman"/>
        </w:rPr>
        <w:t>ram's environmental impact in terms of achievable emission reductions is modest (high feasibility, low impact). In contrast, efforts t</w:t>
      </w:r>
      <w:sdt>
        <w:sdtPr>
          <w:tag w:val="goog_rdk_11"/>
          <w:id w:val="-336752497"/>
        </w:sdtPr>
        <w:sdtEndPr/>
        <w:sdtContent/>
      </w:sdt>
      <w:r>
        <w:rPr>
          <w:rFonts w:ascii="Times New Roman" w:eastAsia="Times New Roman" w:hAnsi="Times New Roman" w:cs="Times New Roman"/>
        </w:rPr>
        <w:t xml:space="preserve">o significantly </w:t>
      </w:r>
      <w:proofErr w:type="gramStart"/>
      <w:r>
        <w:rPr>
          <w:rFonts w:ascii="Times New Roman" w:eastAsia="Times New Roman" w:hAnsi="Times New Roman" w:cs="Times New Roman"/>
        </w:rPr>
        <w:t>reduce</w:t>
      </w:r>
      <w:proofErr w:type="gramEnd"/>
      <w:r>
        <w:rPr>
          <w:rFonts w:ascii="Times New Roman" w:eastAsia="Times New Roman" w:hAnsi="Times New Roman" w:cs="Times New Roman"/>
        </w:rPr>
        <w:t xml:space="preserve"> </w:t>
      </w:r>
      <w:sdt>
        <w:sdtPr>
          <w:tag w:val="goog_rdk_12"/>
          <w:id w:val="-2022161108"/>
        </w:sdtPr>
        <w:sdtEndPr/>
        <w:sdtContent/>
      </w:sdt>
      <w:sdt>
        <w:sdtPr>
          <w:tag w:val="goog_rdk_13"/>
          <w:id w:val="-1398105759"/>
        </w:sdtPr>
        <w:sdtEndPr/>
        <w:sdtContent/>
      </w:sdt>
      <w:r>
        <w:rPr>
          <w:rFonts w:ascii="Times New Roman" w:eastAsia="Times New Roman" w:hAnsi="Times New Roman" w:cs="Times New Roman"/>
        </w:rPr>
        <w:t>beef consumption</w:t>
      </w:r>
      <w:r>
        <w:rPr>
          <w:rFonts w:ascii="Times New Roman" w:eastAsia="Times New Roman" w:hAnsi="Times New Roman" w:cs="Times New Roman"/>
        </w:rPr>
        <w:t>—</w:t>
      </w:r>
      <w:r>
        <w:rPr>
          <w:rFonts w:ascii="Times New Roman" w:eastAsia="Times New Roman" w:hAnsi="Times New Roman" w:cs="Times New Roman"/>
        </w:rPr>
        <w:t>a change with far greater potential to lower greenhouse gas emissio</w:t>
      </w:r>
      <w:r>
        <w:rPr>
          <w:rFonts w:ascii="Times New Roman" w:eastAsia="Times New Roman" w:hAnsi="Times New Roman" w:cs="Times New Roman"/>
        </w:rPr>
        <w:t>ns and environmental harm—face substantial barriers related to consumer preferences, cultural norms, and dietary habits, making such interventions considerably more difficult to implement effectively (low feasibility, high impact).</w:t>
      </w:r>
    </w:p>
    <w:p w14:paraId="000000FC"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These two dimensions hel</w:t>
      </w:r>
      <w:r>
        <w:rPr>
          <w:rFonts w:ascii="Times New Roman" w:eastAsia="Times New Roman" w:hAnsi="Times New Roman" w:cs="Times New Roman"/>
        </w:rPr>
        <w:t xml:space="preserve">p to delineate the landscape of prior research on interventions within the sustainable consumer behavior literature. For example, </w:t>
      </w:r>
      <w:proofErr w:type="spellStart"/>
      <w:r>
        <w:rPr>
          <w:rFonts w:ascii="Times New Roman" w:eastAsia="Times New Roman" w:hAnsi="Times New Roman" w:cs="Times New Roman"/>
        </w:rPr>
        <w:t>Lembregts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Cadario</w:t>
      </w:r>
      <w:proofErr w:type="spellEnd"/>
      <w:r>
        <w:rPr>
          <w:rFonts w:ascii="Times New Roman" w:eastAsia="Times New Roman" w:hAnsi="Times New Roman" w:cs="Times New Roman"/>
        </w:rPr>
        <w:t xml:space="preserve"> (2024) found that high-impact behaviors (e.g., adoption of a plant-based diet) have been severely unders</w:t>
      </w:r>
      <w:r>
        <w:rPr>
          <w:rFonts w:ascii="Times New Roman" w:eastAsia="Times New Roman" w:hAnsi="Times New Roman" w:cs="Times New Roman"/>
        </w:rPr>
        <w:t>tudied. Instead, mostly low-impact behaviors (e.g., recycling or reducing packaging) have been prioritized, partly due to ease of implementation and inadequate understanding of impacts, limiting the contribution of marketing scholarship to climate-change m</w:t>
      </w:r>
      <w:r>
        <w:rPr>
          <w:rFonts w:ascii="Times New Roman" w:eastAsia="Times New Roman" w:hAnsi="Times New Roman" w:cs="Times New Roman"/>
        </w:rPr>
        <w:t>itigation.</w:t>
      </w:r>
    </w:p>
    <w:p w14:paraId="000000FD"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Just as the first stage comprised a four-quadrant matrix (on source-target and micro-macro), the second stage comprises a four-quadrant feasibility–impact matrix (Table 3), based on an intervention's feasibility (high, low) and impact (high, low</w:t>
      </w:r>
      <w:r>
        <w:rPr>
          <w:rFonts w:ascii="Times New Roman" w:eastAsia="Times New Roman" w:hAnsi="Times New Roman" w:cs="Times New Roman"/>
        </w:rPr>
        <w:t>). Interventions characterized by both high feasibility and high impact are the most desirable of course, as they provide immediate and significant gains. However, such interventions are rare. Nonetheless, the contributions of interventions in the other qu</w:t>
      </w:r>
      <w:r>
        <w:rPr>
          <w:rFonts w:ascii="Times New Roman" w:eastAsia="Times New Roman" w:hAnsi="Times New Roman" w:cs="Times New Roman"/>
        </w:rPr>
        <w:t xml:space="preserve">adrants remain critical to advancing sustainability goals. Interventions </w:t>
      </w:r>
      <w:r>
        <w:rPr>
          <w:rFonts w:ascii="Times New Roman" w:eastAsia="Times New Roman" w:hAnsi="Times New Roman" w:cs="Times New Roman"/>
        </w:rPr>
        <w:lastRenderedPageBreak/>
        <w:t>with low feasibility but high impact can be made more attainable through the cultivation of strategic alliances and the reinforcement of supportive policy frameworks. Conversely, inte</w:t>
      </w:r>
      <w:r>
        <w:rPr>
          <w:rFonts w:ascii="Times New Roman" w:eastAsia="Times New Roman" w:hAnsi="Times New Roman" w:cs="Times New Roman"/>
        </w:rPr>
        <w:t>rventions with high feasibility but low impact hold considerable potential when scaled via technological innovation or facilitated by social norms. Although interventions typified by low feasibility and low impact are not primary mechanisms for achieving s</w:t>
      </w:r>
      <w:r>
        <w:rPr>
          <w:rFonts w:ascii="Times New Roman" w:eastAsia="Times New Roman" w:hAnsi="Times New Roman" w:cs="Times New Roman"/>
        </w:rPr>
        <w:t>ustainability goals, they may fulfill an important symbolic function by elevating public awareness and sustaining discourse on environmental issues. Ultimately, meaningful progress toward the SDGs will likely require a portfolio approach that combines high</w:t>
      </w:r>
      <w:r>
        <w:rPr>
          <w:rFonts w:ascii="Times New Roman" w:eastAsia="Times New Roman" w:hAnsi="Times New Roman" w:cs="Times New Roman"/>
        </w:rPr>
        <w:t xml:space="preserve">ly feasible, high-impact interventions with complementary strategies from other stage-2 quadrants. </w:t>
      </w:r>
    </w:p>
    <w:p w14:paraId="000000FE"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Stages 1 and 2 represent our sequential framework that can enable retail actors to make decisions about sustainable consumption and production. More concret</w:t>
      </w:r>
      <w:r>
        <w:rPr>
          <w:rFonts w:ascii="Times New Roman" w:eastAsia="Times New Roman" w:hAnsi="Times New Roman" w:cs="Times New Roman"/>
        </w:rPr>
        <w:t xml:space="preserve">ely, stage 1 enables one to identify potential interventions for selected targets and to map which relationships have already been examined and where gaps in the literature remain. Subsequently, stage 2 helps assess which of these interventions are likely </w:t>
      </w:r>
      <w:r>
        <w:rPr>
          <w:rFonts w:ascii="Times New Roman" w:eastAsia="Times New Roman" w:hAnsi="Times New Roman" w:cs="Times New Roman"/>
        </w:rPr>
        <w:t xml:space="preserve">to be most impactful and/or feasible. Taken together, the two stages enable decision-makers to systematically identify intervention opportunities and prioritize among them based on their feasibility and expected environmental impact. </w:t>
      </w:r>
    </w:p>
    <w:p w14:paraId="000000FF"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two stages are de</w:t>
      </w:r>
      <w:r>
        <w:rPr>
          <w:rFonts w:ascii="Times New Roman" w:eastAsia="Times New Roman" w:hAnsi="Times New Roman" w:cs="Times New Roman"/>
        </w:rPr>
        <w:t xml:space="preserve">signed to work together. Stage 1 identifies </w:t>
      </w:r>
      <w:r>
        <w:rPr>
          <w:rFonts w:ascii="Times New Roman" w:eastAsia="Times New Roman" w:hAnsi="Times New Roman" w:cs="Times New Roman"/>
          <w:i/>
          <w:iCs/>
        </w:rPr>
        <w:t>what</w:t>
      </w:r>
      <w:r>
        <w:rPr>
          <w:rFonts w:ascii="Times New Roman" w:eastAsia="Times New Roman" w:hAnsi="Times New Roman" w:cs="Times New Roman"/>
        </w:rPr>
        <w:t xml:space="preserve"> interventions are possible and </w:t>
      </w:r>
      <w:r>
        <w:rPr>
          <w:rFonts w:ascii="Times New Roman" w:eastAsia="Times New Roman" w:hAnsi="Times New Roman" w:cs="Times New Roman"/>
          <w:i/>
          <w:iCs/>
        </w:rPr>
        <w:t>between whom</w:t>
      </w:r>
      <w:r>
        <w:rPr>
          <w:rFonts w:ascii="Times New Roman" w:eastAsia="Times New Roman" w:hAnsi="Times New Roman" w:cs="Times New Roman"/>
        </w:rPr>
        <w:t xml:space="preserve">, while stage 2 evaluates </w:t>
      </w:r>
      <w:r>
        <w:rPr>
          <w:rFonts w:ascii="Times New Roman" w:eastAsia="Times New Roman" w:hAnsi="Times New Roman" w:cs="Times New Roman"/>
          <w:i/>
          <w:iCs/>
        </w:rPr>
        <w:t>which</w:t>
      </w:r>
      <w:r>
        <w:rPr>
          <w:rFonts w:ascii="Times New Roman" w:eastAsia="Times New Roman" w:hAnsi="Times New Roman" w:cs="Times New Roman"/>
        </w:rPr>
        <w:t xml:space="preserve"> of those interventions to prioritize. Stage 2 is applied within each of Stage 1's four quadrants, so that every intervention is char</w:t>
      </w:r>
      <w:r>
        <w:rPr>
          <w:rFonts w:ascii="Times New Roman" w:eastAsia="Times New Roman" w:hAnsi="Times New Roman" w:cs="Times New Roman"/>
        </w:rPr>
        <w:t xml:space="preserve">acterized by both its source-target dynamics and its feasibility–impact profile. Whether certain source-target quadrants systematically map onto particular feasibility–impact profiles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an empirical question that the framework helps to surface.</w:t>
      </w:r>
    </w:p>
    <w:p w14:paraId="00000100" w14:textId="77777777" w:rsidR="00AB4CD0" w:rsidRDefault="004C12C0">
      <w:pPr>
        <w:pStyle w:val="Heading2"/>
        <w:spacing w:before="0" w:line="480" w:lineRule="auto"/>
        <w:jc w:val="center"/>
        <w:rPr>
          <w:rFonts w:ascii="Times New Roman" w:eastAsia="Times New Roman" w:hAnsi="Times New Roman" w:cs="Times New Roman"/>
          <w:sz w:val="16"/>
          <w:szCs w:val="16"/>
        </w:rPr>
      </w:pPr>
      <w:r>
        <w:rPr>
          <w:rFonts w:ascii="Times New Roman" w:eastAsia="Times New Roman" w:hAnsi="Times New Roman" w:cs="Times New Roman"/>
          <w:b/>
          <w:bCs/>
          <w:color w:val="000000"/>
          <w:sz w:val="24"/>
          <w:szCs w:val="24"/>
        </w:rPr>
        <w:lastRenderedPageBreak/>
        <w:t>Table 3: T</w:t>
      </w:r>
      <w:r>
        <w:rPr>
          <w:rFonts w:ascii="Times New Roman" w:eastAsia="Times New Roman" w:hAnsi="Times New Roman" w:cs="Times New Roman"/>
          <w:b/>
          <w:bCs/>
          <w:color w:val="000000"/>
          <w:sz w:val="24"/>
          <w:szCs w:val="24"/>
        </w:rPr>
        <w:t>he Second Stage of Our Two-Stage Framework: Feasibility</w:t>
      </w:r>
      <w:r>
        <w:rPr>
          <w:rFonts w:ascii="Times New Roman" w:eastAsia="Times New Roman" w:hAnsi="Times New Roman" w:cs="Times New Roman"/>
          <w:b/>
          <w:bCs/>
          <w:color w:val="000000"/>
        </w:rPr>
        <w:t>–</w:t>
      </w:r>
      <w:r>
        <w:rPr>
          <w:rFonts w:ascii="Times New Roman" w:eastAsia="Times New Roman" w:hAnsi="Times New Roman" w:cs="Times New Roman"/>
          <w:b/>
          <w:bCs/>
          <w:color w:val="000000"/>
          <w:sz w:val="24"/>
          <w:szCs w:val="24"/>
        </w:rPr>
        <w:t xml:space="preserve">Impact Matrix </w:t>
      </w:r>
    </w:p>
    <w:tbl>
      <w:tblPr>
        <w:tblStyle w:val="af8"/>
        <w:tblW w:w="10080" w:type="dxa"/>
        <w:tblBorders>
          <w:top w:val="nil"/>
          <w:left w:val="nil"/>
          <w:bottom w:val="nil"/>
          <w:right w:val="nil"/>
          <w:insideH w:val="nil"/>
          <w:insideV w:val="nil"/>
        </w:tblBorders>
        <w:tblLayout w:type="fixed"/>
        <w:tblLook w:val="0600" w:firstRow="0" w:lastRow="0" w:firstColumn="0" w:lastColumn="0" w:noHBand="1" w:noVBand="1"/>
      </w:tblPr>
      <w:tblGrid>
        <w:gridCol w:w="1008"/>
        <w:gridCol w:w="2016"/>
        <w:gridCol w:w="2016"/>
        <w:gridCol w:w="1008"/>
        <w:gridCol w:w="2016"/>
        <w:gridCol w:w="2016"/>
      </w:tblGrid>
      <w:tr w:rsidR="00AB4CD0" w14:paraId="1BF7CAF3" w14:textId="77777777">
        <w:trPr>
          <w:trHeight w:val="444"/>
        </w:trPr>
        <w:tc>
          <w:tcPr>
            <w:tcW w:w="5040"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0000101"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15"/>
                <w:id w:val="-138324012"/>
              </w:sdtPr>
              <w:sdtEndPr/>
              <w:sdtContent>
                <w:r>
                  <w:rPr>
                    <w:rFonts w:ascii="Cardo" w:eastAsia="Cardo" w:hAnsi="Cardo" w:cs="Cardo"/>
                    <w:b/>
                    <w:bCs/>
                    <w:sz w:val="20"/>
                    <w:szCs w:val="20"/>
                  </w:rPr>
                  <w:t xml:space="preserve"> Quadrant I: Micro → Micro</w:t>
                </w:r>
              </w:sdtContent>
            </w:sdt>
          </w:p>
        </w:tc>
        <w:tc>
          <w:tcPr>
            <w:tcW w:w="5040"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0000104"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16"/>
                <w:id w:val="790858280"/>
              </w:sdtPr>
              <w:sdtEndPr/>
              <w:sdtContent>
                <w:r>
                  <w:rPr>
                    <w:rFonts w:ascii="Cardo" w:eastAsia="Cardo" w:hAnsi="Cardo" w:cs="Cardo"/>
                    <w:b/>
                    <w:bCs/>
                    <w:sz w:val="20"/>
                    <w:szCs w:val="20"/>
                  </w:rPr>
                  <w:t xml:space="preserve"> Quadrant II: Macro → Micro</w:t>
                </w:r>
              </w:sdtContent>
            </w:sdt>
          </w:p>
        </w:tc>
      </w:tr>
      <w:tr w:rsidR="00AB4CD0" w14:paraId="0C318D18" w14:textId="77777777">
        <w:trPr>
          <w:trHeight w:val="240"/>
        </w:trPr>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07" w14:textId="77777777" w:rsidR="00AB4CD0" w:rsidRDefault="00AB4CD0">
            <w:pPr>
              <w:ind w:left="140"/>
              <w:jc w:val="center"/>
              <w:rPr>
                <w:rFonts w:ascii="Times New Roman" w:eastAsia="Times New Roman" w:hAnsi="Times New Roman" w:cs="Times New Roman"/>
                <w:b/>
                <w:bCs/>
                <w:sz w:val="16"/>
                <w:szCs w:val="16"/>
              </w:rPr>
            </w:pP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08"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Low</w:t>
            </w: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09"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High</w:t>
            </w:r>
          </w:p>
        </w:tc>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0A" w14:textId="77777777" w:rsidR="00AB4CD0" w:rsidRDefault="00AB4CD0">
            <w:pPr>
              <w:ind w:left="135"/>
              <w:jc w:val="center"/>
              <w:rPr>
                <w:rFonts w:ascii="Times New Roman" w:eastAsia="Times New Roman" w:hAnsi="Times New Roman" w:cs="Times New Roman"/>
                <w:b/>
                <w:bCs/>
                <w:sz w:val="16"/>
                <w:szCs w:val="16"/>
              </w:rPr>
            </w:pP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0B"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Low</w:t>
            </w: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0C"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High</w:t>
            </w:r>
          </w:p>
        </w:tc>
      </w:tr>
      <w:tr w:rsidR="00AB4CD0" w14:paraId="63FE89C3" w14:textId="77777777">
        <w:trPr>
          <w:trHeight w:val="1935"/>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0D"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0E"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Low</w:t>
            </w:r>
          </w:p>
          <w:p w14:paraId="0000010F" w14:textId="77777777" w:rsidR="00AB4CD0" w:rsidRDefault="00AB4CD0">
            <w:pPr>
              <w:rPr>
                <w:rFonts w:ascii="Times New Roman" w:eastAsia="Times New Roman" w:hAnsi="Times New Roman" w:cs="Times New Roman"/>
                <w:b/>
                <w:bCs/>
                <w:sz w:val="16"/>
                <w:szCs w:val="16"/>
              </w:rPr>
            </w:pP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10"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Community-to- community sustainability knowledge sharing </w:t>
            </w:r>
          </w:p>
          <w:p w14:paraId="00000111"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Peer-to-peer gift economy movements (e.g., Buy Nothing Project)</w:t>
            </w:r>
          </w:p>
          <w:p w14:paraId="00000112"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Peer-to-peer effects among family/ friends</w:t>
            </w:r>
          </w:p>
          <w:p w14:paraId="0000011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Employee-to-employee influence in organizations</w:t>
            </w: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14"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Rooftop solar adoption through Community organizers</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15"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1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b/>
                <w:bCs/>
                <w:sz w:val="16"/>
                <w:szCs w:val="16"/>
              </w:rPr>
              <w:t>Low</w:t>
            </w: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1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Corporate sustainability training programs</w:t>
            </w:r>
          </w:p>
          <w:p w14:paraId="0000011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Chevrolet sales staff program</w:t>
            </w:r>
            <w:r>
              <w:rPr>
                <w:rFonts w:ascii="Times New Roman" w:eastAsia="Times New Roman" w:hAnsi="Times New Roman" w:cs="Times New Roman"/>
                <w:sz w:val="16"/>
                <w:szCs w:val="16"/>
              </w:rPr>
              <w:br/>
              <w:t xml:space="preserve">- </w:t>
            </w:r>
            <w:proofErr w:type="spellStart"/>
            <w:r>
              <w:rPr>
                <w:rFonts w:ascii="Times New Roman" w:eastAsia="Times New Roman" w:hAnsi="Times New Roman" w:cs="Times New Roman"/>
                <w:sz w:val="16"/>
                <w:szCs w:val="16"/>
              </w:rPr>
              <w:t>ElectrifIQ</w:t>
            </w:r>
            <w:proofErr w:type="spellEnd"/>
            <w:r>
              <w:rPr>
                <w:rFonts w:ascii="Times New Roman" w:eastAsia="Times New Roman" w:hAnsi="Times New Roman" w:cs="Times New Roman"/>
                <w:sz w:val="16"/>
                <w:szCs w:val="16"/>
              </w:rPr>
              <w:t xml:space="preserve"> EV certification program</w:t>
            </w: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1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Carbon tax policies influencing consumption</w:t>
            </w:r>
          </w:p>
          <w:p w14:paraId="0000011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Tax credits for plug-in hybrids </w:t>
            </w:r>
          </w:p>
          <w:p w14:paraId="0000011B"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Rebates for EV chargers</w:t>
            </w:r>
          </w:p>
          <w:p w14:paraId="0000011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H&amp;M global clothes collecting in</w:t>
            </w:r>
            <w:r>
              <w:rPr>
                <w:rFonts w:ascii="Times New Roman" w:eastAsia="Times New Roman" w:hAnsi="Times New Roman" w:cs="Times New Roman"/>
                <w:sz w:val="16"/>
                <w:szCs w:val="16"/>
              </w:rPr>
              <w:t>itiative</w:t>
            </w:r>
          </w:p>
          <w:p w14:paraId="0000011D" w14:textId="77777777" w:rsidR="00AB4CD0" w:rsidRDefault="00AB4CD0">
            <w:pPr>
              <w:rPr>
                <w:rFonts w:ascii="Times New Roman" w:eastAsia="Times New Roman" w:hAnsi="Times New Roman" w:cs="Times New Roman"/>
                <w:sz w:val="16"/>
                <w:szCs w:val="16"/>
                <w:highlight w:val="yellow"/>
              </w:rPr>
            </w:pPr>
          </w:p>
        </w:tc>
      </w:tr>
      <w:tr w:rsidR="00AB4CD0" w14:paraId="36F7F8F3" w14:textId="77777777">
        <w:trPr>
          <w:trHeight w:val="1740"/>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1E"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1F"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High</w:t>
            </w: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20"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Micro-enterprise “no plastic bag" campaigns</w:t>
            </w:r>
          </w:p>
          <w:p w14:paraId="00000121"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Social media trends influencing sustainable choices (e.g., thrift haul videos)</w:t>
            </w:r>
          </w:p>
          <w:p w14:paraId="00000122"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Neighbors gifting/ sharing items in local groups</w:t>
            </w: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2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Social-norm messages drive sustainable behavior (e.g., Sparkman and Walton 2017)</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24"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2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b/>
                <w:bCs/>
                <w:sz w:val="16"/>
                <w:szCs w:val="16"/>
              </w:rPr>
              <w:t>High</w:t>
            </w: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2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Hybrid HOV lanes</w:t>
            </w:r>
          </w:p>
          <w:p w14:paraId="0000012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Auto rebates/financing offers</w:t>
            </w:r>
          </w:p>
          <w:p w14:paraId="0000012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Retailers promoting recycling or waste reduction:</w:t>
            </w:r>
          </w:p>
          <w:p w14:paraId="0000012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Target’s “Target Zero”</w:t>
            </w:r>
          </w:p>
          <w:p w14:paraId="0000012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IKEA “Energy Insights”</w:t>
            </w:r>
          </w:p>
          <w:p w14:paraId="0000012B"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Sta</w:t>
            </w:r>
            <w:r>
              <w:rPr>
                <w:rFonts w:ascii="Times New Roman" w:eastAsia="Times New Roman" w:hAnsi="Times New Roman" w:cs="Times New Roman"/>
                <w:sz w:val="16"/>
                <w:szCs w:val="16"/>
              </w:rPr>
              <w:t>rbucks “Bring It Back”</w:t>
            </w: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2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Personalized home energy reports (</w:t>
            </w:r>
            <w:proofErr w:type="spellStart"/>
            <w:r>
              <w:rPr>
                <w:rFonts w:ascii="Times New Roman" w:eastAsia="Times New Roman" w:hAnsi="Times New Roman" w:cs="Times New Roman"/>
                <w:sz w:val="16"/>
                <w:szCs w:val="16"/>
              </w:rPr>
              <w:t>Opower</w:t>
            </w:r>
            <w:proofErr w:type="spellEnd"/>
            <w:r>
              <w:rPr>
                <w:rFonts w:ascii="Times New Roman" w:eastAsia="Times New Roman" w:hAnsi="Times New Roman" w:cs="Times New Roman"/>
                <w:sz w:val="16"/>
                <w:szCs w:val="16"/>
              </w:rPr>
              <w:t xml:space="preserve"> + utilities)</w:t>
            </w:r>
          </w:p>
          <w:p w14:paraId="0000012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Government-backed environmental labeling programs (e.g., ENERGY STAR, Fuel Efficiency labels; EPA + partners)</w:t>
            </w:r>
          </w:p>
        </w:tc>
      </w:tr>
      <w:tr w:rsidR="00AB4CD0" w14:paraId="62164676" w14:textId="77777777">
        <w:trPr>
          <w:trHeight w:val="360"/>
        </w:trPr>
        <w:tc>
          <w:tcPr>
            <w:tcW w:w="5040"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000012E"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17"/>
                <w:id w:val="1358874558"/>
              </w:sdtPr>
              <w:sdtEndPr/>
              <w:sdtContent>
                <w:r>
                  <w:rPr>
                    <w:rFonts w:ascii="Cardo" w:eastAsia="Cardo" w:hAnsi="Cardo" w:cs="Cardo"/>
                    <w:b/>
                    <w:bCs/>
                    <w:sz w:val="20"/>
                    <w:szCs w:val="20"/>
                  </w:rPr>
                  <w:t xml:space="preserve"> Quadrant III: Micro → Macro</w:t>
                </w:r>
              </w:sdtContent>
            </w:sdt>
          </w:p>
        </w:tc>
        <w:tc>
          <w:tcPr>
            <w:tcW w:w="5040" w:type="dxa"/>
            <w:gridSpan w:val="3"/>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0000131"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18"/>
                <w:id w:val="-744504944"/>
              </w:sdtPr>
              <w:sdtEndPr/>
              <w:sdtContent>
                <w:r>
                  <w:rPr>
                    <w:rFonts w:ascii="Cardo" w:eastAsia="Cardo" w:hAnsi="Cardo" w:cs="Cardo"/>
                    <w:b/>
                    <w:bCs/>
                    <w:sz w:val="20"/>
                    <w:szCs w:val="20"/>
                  </w:rPr>
                  <w:t xml:space="preserve"> Quadrant IV: Macro → Macro</w:t>
                </w:r>
              </w:sdtContent>
            </w:sdt>
          </w:p>
        </w:tc>
      </w:tr>
      <w:tr w:rsidR="00AB4CD0" w14:paraId="0B9A01F3" w14:textId="77777777">
        <w:trPr>
          <w:trHeight w:val="240"/>
        </w:trPr>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34" w14:textId="77777777" w:rsidR="00AB4CD0" w:rsidRDefault="00AB4CD0">
            <w:pPr>
              <w:ind w:left="140"/>
              <w:jc w:val="center"/>
              <w:rPr>
                <w:rFonts w:ascii="Times New Roman" w:eastAsia="Times New Roman" w:hAnsi="Times New Roman" w:cs="Times New Roman"/>
                <w:b/>
                <w:bCs/>
                <w:sz w:val="16"/>
                <w:szCs w:val="16"/>
              </w:rPr>
            </w:pP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35"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Low</w:t>
            </w: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36"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High</w:t>
            </w:r>
          </w:p>
        </w:tc>
        <w:tc>
          <w:tcPr>
            <w:tcW w:w="1008"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37" w14:textId="77777777" w:rsidR="00AB4CD0" w:rsidRDefault="00AB4CD0">
            <w:pPr>
              <w:ind w:left="135"/>
              <w:jc w:val="center"/>
              <w:rPr>
                <w:rFonts w:ascii="Times New Roman" w:eastAsia="Times New Roman" w:hAnsi="Times New Roman" w:cs="Times New Roman"/>
                <w:b/>
                <w:bCs/>
                <w:sz w:val="16"/>
                <w:szCs w:val="16"/>
              </w:rPr>
            </w:pP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38"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Low</w:t>
            </w:r>
          </w:p>
        </w:tc>
        <w:tc>
          <w:tcPr>
            <w:tcW w:w="2016"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139" w14:textId="77777777" w:rsidR="00AB4CD0" w:rsidRDefault="004C12C0">
            <w:pPr>
              <w:ind w:left="14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Impact High</w:t>
            </w:r>
          </w:p>
        </w:tc>
      </w:tr>
      <w:tr w:rsidR="00AB4CD0" w14:paraId="2E497C07" w14:textId="77777777">
        <w:trPr>
          <w:trHeight w:val="2654"/>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3A"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3B"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Low</w:t>
            </w:r>
          </w:p>
          <w:p w14:paraId="0000013C" w14:textId="77777777" w:rsidR="00AB4CD0" w:rsidRDefault="00AB4CD0">
            <w:pPr>
              <w:rPr>
                <w:rFonts w:ascii="Times New Roman" w:eastAsia="Times New Roman" w:hAnsi="Times New Roman" w:cs="Times New Roman"/>
                <w:b/>
                <w:bCs/>
                <w:sz w:val="16"/>
                <w:szCs w:val="16"/>
              </w:rPr>
            </w:pP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3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Boycotts (e.g., avoiding products that rely on single-use plastics or contain palm oil associated with deforestation)</w:t>
            </w:r>
          </w:p>
          <w:p w14:paraId="0000013E"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Buycotts</w:t>
            </w:r>
            <w:proofErr w:type="spellEnd"/>
          </w:p>
          <w:p w14:paraId="0000013F"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Carrotmob</w:t>
            </w:r>
            <w:proofErr w:type="spellEnd"/>
            <w:r>
              <w:rPr>
                <w:rFonts w:ascii="Times New Roman" w:eastAsia="Times New Roman" w:hAnsi="Times New Roman" w:cs="Times New Roman"/>
                <w:sz w:val="16"/>
                <w:szCs w:val="16"/>
              </w:rPr>
              <w:t xml:space="preserve"> campaigns </w:t>
            </w: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40"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Mass protests (e.g., Fridays for Future) </w:t>
            </w:r>
          </w:p>
          <w:p w14:paraId="00000141"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Shifting purchasing toward sustainable product lines, such as the consumer-driven rise of plant-based milks</w:t>
            </w: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42"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43"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Low</w:t>
            </w:r>
          </w:p>
          <w:p w14:paraId="00000144" w14:textId="77777777" w:rsidR="00AB4CD0" w:rsidRDefault="00AB4CD0">
            <w:pPr>
              <w:rPr>
                <w:rFonts w:ascii="Times New Roman" w:eastAsia="Times New Roman" w:hAnsi="Times New Roman" w:cs="Times New Roman"/>
                <w:b/>
                <w:bCs/>
                <w:sz w:val="16"/>
                <w:szCs w:val="16"/>
              </w:rPr>
            </w:pP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45"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Shareholder proposals &amp; proxy voting </w:t>
            </w:r>
          </w:p>
          <w:p w14:paraId="00000146"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Sustainable investment portfolios (retail level)</w:t>
            </w:r>
          </w:p>
          <w:p w14:paraId="00000147" w14:textId="77777777" w:rsidR="00AB4CD0" w:rsidRDefault="00AB4CD0">
            <w:pPr>
              <w:rPr>
                <w:rFonts w:ascii="Times New Roman" w:eastAsia="Times New Roman" w:hAnsi="Times New Roman" w:cs="Times New Roman"/>
                <w:sz w:val="16"/>
                <w:szCs w:val="16"/>
              </w:rPr>
            </w:pP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4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Mandatory sustainability standards &amp; certifications</w:t>
            </w:r>
          </w:p>
          <w:p w14:paraId="0000014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EU Emissions Trading System (EU ETS)</w:t>
            </w:r>
          </w:p>
          <w:p w14:paraId="0000014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EU Deforestation-Free Regulation (EUDR)</w:t>
            </w:r>
          </w:p>
          <w:p w14:paraId="0000014B"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Regulatory frameworks/bills (e.g., New York Fashion Act)</w:t>
            </w:r>
          </w:p>
          <w:p w14:paraId="0000014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Internat</w:t>
            </w:r>
            <w:r>
              <w:rPr>
                <w:rFonts w:ascii="Times New Roman" w:eastAsia="Times New Roman" w:hAnsi="Times New Roman" w:cs="Times New Roman"/>
                <w:sz w:val="16"/>
                <w:szCs w:val="16"/>
              </w:rPr>
              <w:t>ional treaties (Paris Agreement)</w:t>
            </w:r>
          </w:p>
          <w:p w14:paraId="0000014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Climate Action 100+ Global investor coalition </w:t>
            </w:r>
          </w:p>
          <w:p w14:paraId="0000014E"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Carbon Disclosure Project</w:t>
            </w:r>
          </w:p>
        </w:tc>
      </w:tr>
      <w:tr w:rsidR="00AB4CD0" w14:paraId="5427ED96" w14:textId="77777777">
        <w:trPr>
          <w:trHeight w:val="2072"/>
        </w:trPr>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4F"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50"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High</w:t>
            </w: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51"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Consumer demand-driven pledges and targets (e.g., Zomato’s opt-in </w:t>
            </w:r>
            <w:proofErr w:type="gramStart"/>
            <w:r>
              <w:rPr>
                <w:rFonts w:ascii="Times New Roman" w:eastAsia="Times New Roman" w:hAnsi="Times New Roman" w:cs="Times New Roman"/>
                <w:sz w:val="16"/>
                <w:szCs w:val="16"/>
              </w:rPr>
              <w:t>defaults,  eBay’s</w:t>
            </w:r>
            <w:proofErr w:type="gramEnd"/>
            <w:r>
              <w:rPr>
                <w:rFonts w:ascii="Times New Roman" w:eastAsia="Times New Roman" w:hAnsi="Times New Roman" w:cs="Times New Roman"/>
                <w:sz w:val="16"/>
                <w:szCs w:val="16"/>
              </w:rPr>
              <w:t xml:space="preserve"> “Certified Refurbished” program) </w:t>
            </w:r>
          </w:p>
          <w:p w14:paraId="00000152"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Advocacy group petitions (e.g., PIRG to Amazon)</w:t>
            </w:r>
          </w:p>
          <w:p w14:paraId="00000153"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Employee advocacy for sustainable practices </w:t>
            </w:r>
          </w:p>
        </w:tc>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54" w14:textId="77777777" w:rsidR="00AB4CD0" w:rsidRDefault="00AB4CD0">
            <w:pPr>
              <w:rPr>
                <w:rFonts w:ascii="Times New Roman" w:eastAsia="Times New Roman" w:hAnsi="Times New Roman" w:cs="Times New Roman"/>
                <w:sz w:val="16"/>
                <w:szCs w:val="16"/>
                <w:highlight w:val="yellow"/>
              </w:rPr>
            </w:pPr>
          </w:p>
        </w:tc>
        <w:tc>
          <w:tcPr>
            <w:tcW w:w="100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55"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Feasibility</w:t>
            </w:r>
          </w:p>
          <w:p w14:paraId="00000156" w14:textId="77777777" w:rsidR="00AB4CD0" w:rsidRDefault="004C12C0">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High</w:t>
            </w: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57"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Uber Eats “Delivering a Greener Future” initiative</w:t>
            </w:r>
          </w:p>
          <w:p w14:paraId="00000158"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Etsy’s sustainability standards and net-zero commitments</w:t>
            </w:r>
          </w:p>
          <w:p w14:paraId="00000159"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Booking’s sustainability Ha</w:t>
            </w:r>
            <w:r>
              <w:rPr>
                <w:rFonts w:ascii="Times New Roman" w:eastAsia="Times New Roman" w:hAnsi="Times New Roman" w:cs="Times New Roman"/>
                <w:sz w:val="16"/>
                <w:szCs w:val="16"/>
              </w:rPr>
              <w:t>ndbook &amp; certification</w:t>
            </w:r>
          </w:p>
        </w:tc>
        <w:tc>
          <w:tcPr>
            <w:tcW w:w="201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15A"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Walmart’s Project Gigaton</w:t>
            </w:r>
          </w:p>
          <w:p w14:paraId="0000015B"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Microsoft Cloud for Sustainability</w:t>
            </w:r>
          </w:p>
          <w:p w14:paraId="0000015C"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Zalando’s</w:t>
            </w:r>
            <w:proofErr w:type="spellEnd"/>
            <w:r>
              <w:rPr>
                <w:rFonts w:ascii="Times New Roman" w:eastAsia="Times New Roman" w:hAnsi="Times New Roman" w:cs="Times New Roman"/>
                <w:sz w:val="16"/>
                <w:szCs w:val="16"/>
              </w:rPr>
              <w:t xml:space="preserve"> </w:t>
            </w:r>
            <w:proofErr w:type="spellStart"/>
            <w:proofErr w:type="gramStart"/>
            <w:r>
              <w:rPr>
                <w:rFonts w:ascii="Times New Roman" w:eastAsia="Times New Roman" w:hAnsi="Times New Roman" w:cs="Times New Roman"/>
                <w:sz w:val="16"/>
                <w:szCs w:val="16"/>
              </w:rPr>
              <w:t>do.MORE</w:t>
            </w:r>
            <w:proofErr w:type="spellEnd"/>
            <w:proofErr w:type="gramEnd"/>
            <w:r>
              <w:rPr>
                <w:rFonts w:ascii="Times New Roman" w:eastAsia="Times New Roman" w:hAnsi="Times New Roman" w:cs="Times New Roman"/>
                <w:sz w:val="16"/>
                <w:szCs w:val="16"/>
              </w:rPr>
              <w:t xml:space="preserve"> strategy </w:t>
            </w:r>
          </w:p>
          <w:p w14:paraId="0000015D" w14:textId="77777777" w:rsidR="00AB4CD0" w:rsidRDefault="004C12C0">
            <w:pPr>
              <w:rPr>
                <w:rFonts w:ascii="Times New Roman" w:eastAsia="Times New Roman" w:hAnsi="Times New Roman" w:cs="Times New Roman"/>
                <w:sz w:val="16"/>
                <w:szCs w:val="16"/>
              </w:rPr>
            </w:pPr>
            <w:r>
              <w:rPr>
                <w:rFonts w:ascii="Times New Roman" w:eastAsia="Times New Roman" w:hAnsi="Times New Roman" w:cs="Times New Roman"/>
                <w:sz w:val="16"/>
                <w:szCs w:val="16"/>
              </w:rPr>
              <w:t>- Amazon’s Climate Pledge Friendly program</w:t>
            </w:r>
          </w:p>
        </w:tc>
      </w:tr>
    </w:tbl>
    <w:p w14:paraId="0000015E" w14:textId="77777777" w:rsidR="00AB4CD0" w:rsidRDefault="00AB4CD0">
      <w:pPr>
        <w:spacing w:line="480" w:lineRule="auto"/>
        <w:jc w:val="both"/>
        <w:rPr>
          <w:rFonts w:ascii="Times New Roman" w:eastAsia="Times New Roman" w:hAnsi="Times New Roman" w:cs="Times New Roman"/>
        </w:rPr>
      </w:pPr>
    </w:p>
    <w:p w14:paraId="0000015F" w14:textId="77777777" w:rsidR="00AB4CD0" w:rsidRDefault="00AB4CD0">
      <w:pPr>
        <w:spacing w:line="480" w:lineRule="auto"/>
        <w:jc w:val="both"/>
        <w:rPr>
          <w:rFonts w:ascii="Times New Roman" w:eastAsia="Times New Roman" w:hAnsi="Times New Roman" w:cs="Times New Roman"/>
        </w:rPr>
      </w:pPr>
    </w:p>
    <w:p w14:paraId="00000160" w14:textId="77777777" w:rsidR="00AB4CD0" w:rsidRDefault="004C12C0">
      <w:pPr>
        <w:spacing w:line="480" w:lineRule="auto"/>
        <w:ind w:firstLine="720"/>
        <w:jc w:val="both"/>
        <w:rPr>
          <w:rFonts w:ascii="Times New Roman" w:eastAsia="Times New Roman" w:hAnsi="Times New Roman" w:cs="Times New Roman"/>
          <w:sz w:val="16"/>
          <w:szCs w:val="16"/>
        </w:rPr>
      </w:pPr>
      <w:r>
        <w:rPr>
          <w:rFonts w:ascii="Times New Roman" w:eastAsia="Times New Roman" w:hAnsi="Times New Roman" w:cs="Times New Roman"/>
        </w:rPr>
        <w:t>The following sections employ the two-stage framework and discuss exemplary interventions in each quadrant.</w:t>
      </w:r>
    </w:p>
    <w:p w14:paraId="00000161" w14:textId="77777777" w:rsidR="00AB4CD0" w:rsidRPr="006710D8" w:rsidRDefault="004C12C0">
      <w:pPr>
        <w:numPr>
          <w:ilvl w:val="0"/>
          <w:numId w:val="2"/>
        </w:numPr>
        <w:pBdr>
          <w:top w:val="nil"/>
          <w:left w:val="nil"/>
          <w:bottom w:val="nil"/>
          <w:right w:val="nil"/>
          <w:between w:val="nil"/>
        </w:pBdr>
        <w:spacing w:before="120" w:line="480" w:lineRule="auto"/>
        <w:rPr>
          <w:rFonts w:ascii="Times New Roman" w:eastAsia="Times New Roman" w:hAnsi="Times New Roman" w:cs="Times New Roman"/>
          <w:lang w:val="it-IT"/>
        </w:rPr>
      </w:pPr>
      <w:proofErr w:type="spellStart"/>
      <w:r w:rsidRPr="006710D8">
        <w:rPr>
          <w:rFonts w:ascii="Times New Roman" w:eastAsia="Times New Roman" w:hAnsi="Times New Roman" w:cs="Times New Roman"/>
          <w:b/>
          <w:bCs/>
          <w:lang w:val="it-IT"/>
        </w:rPr>
        <w:lastRenderedPageBreak/>
        <w:t>Quadrant</w:t>
      </w:r>
      <w:proofErr w:type="spellEnd"/>
      <w:r w:rsidRPr="006710D8">
        <w:rPr>
          <w:rFonts w:ascii="Times New Roman" w:eastAsia="Times New Roman" w:hAnsi="Times New Roman" w:cs="Times New Roman"/>
          <w:b/>
          <w:bCs/>
          <w:lang w:val="it-IT"/>
        </w:rPr>
        <w:t xml:space="preserve"> I: </w:t>
      </w:r>
      <w:sdt>
        <w:sdtPr>
          <w:tag w:val="goog_rdk_19"/>
          <w:id w:val="574233772"/>
        </w:sdtPr>
        <w:sdtEndPr/>
        <w:sdtContent>
          <w:proofErr w:type="spellStart"/>
          <w:r w:rsidRPr="006710D8">
            <w:rPr>
              <w:rFonts w:ascii="Cardo" w:eastAsia="Cardo" w:hAnsi="Cardo" w:cs="Cardo"/>
              <w:b/>
              <w:bCs/>
              <w:color w:val="000000"/>
              <w:lang w:val="it-IT"/>
            </w:rPr>
            <w:t>Micro→Micro</w:t>
          </w:r>
          <w:proofErr w:type="spellEnd"/>
          <w:r w:rsidRPr="006710D8">
            <w:rPr>
              <w:rFonts w:ascii="Cardo" w:eastAsia="Cardo" w:hAnsi="Cardo" w:cs="Cardo"/>
              <w:b/>
              <w:bCs/>
              <w:color w:val="000000"/>
              <w:lang w:val="it-IT"/>
            </w:rPr>
            <w:t xml:space="preserve"> </w:t>
          </w:r>
          <w:proofErr w:type="spellStart"/>
          <w:r w:rsidRPr="006710D8">
            <w:rPr>
              <w:rFonts w:ascii="Cardo" w:eastAsia="Cardo" w:hAnsi="Cardo" w:cs="Cardo"/>
              <w:b/>
              <w:bCs/>
              <w:color w:val="000000"/>
              <w:lang w:val="it-IT"/>
            </w:rPr>
            <w:t>Influence</w:t>
          </w:r>
          <w:proofErr w:type="spellEnd"/>
        </w:sdtContent>
      </w:sdt>
    </w:p>
    <w:p w14:paraId="00000162" w14:textId="77777777" w:rsidR="00AB4CD0" w:rsidRDefault="004C12C0">
      <w:pPr>
        <w:spacing w:before="120" w:line="480" w:lineRule="auto"/>
        <w:ind w:firstLine="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Quadrant I of the source–target matrix covers the tendency of individuals to</w:t>
      </w:r>
      <w:r>
        <w:rPr>
          <w:rFonts w:ascii="Times New Roman" w:eastAsia="Times New Roman" w:hAnsi="Times New Roman" w:cs="Times New Roman"/>
        </w:rPr>
        <w:t xml:space="preserve"> determine appropriate behavior for themselves by mimicking referent others’ behavior (Cialdini 1993). </w:t>
      </w:r>
      <w:r>
        <w:rPr>
          <w:rFonts w:ascii="Times New Roman" w:eastAsia="Times New Roman" w:hAnsi="Times New Roman" w:cs="Times New Roman"/>
          <w:highlight w:val="white"/>
        </w:rPr>
        <w:t xml:space="preserve">These peer-to-peer influences are known as “social influence”. </w:t>
      </w:r>
      <w:r>
        <w:rPr>
          <w:rFonts w:ascii="Times New Roman" w:eastAsia="Times New Roman" w:hAnsi="Times New Roman" w:cs="Times New Roman"/>
        </w:rPr>
        <w:t>For example, consumer</w:t>
      </w:r>
      <w:r>
        <w:rPr>
          <w:rFonts w:ascii="Times New Roman" w:eastAsia="Times New Roman" w:hAnsi="Times New Roman" w:cs="Times New Roman"/>
          <w:highlight w:val="white"/>
        </w:rPr>
        <w:t>s may influence family members to purchase sustainable products (</w:t>
      </w:r>
      <w:proofErr w:type="spellStart"/>
      <w:r>
        <w:rPr>
          <w:rFonts w:ascii="Times New Roman" w:eastAsia="Times New Roman" w:hAnsi="Times New Roman" w:cs="Times New Roman"/>
          <w:highlight w:val="white"/>
        </w:rPr>
        <w:t>Essi</w:t>
      </w:r>
      <w:r>
        <w:rPr>
          <w:rFonts w:ascii="Times New Roman" w:eastAsia="Times New Roman" w:hAnsi="Times New Roman" w:cs="Times New Roman"/>
          <w:highlight w:val="white"/>
        </w:rPr>
        <w:t>z</w:t>
      </w:r>
      <w:proofErr w:type="spellEnd"/>
      <w:r>
        <w:rPr>
          <w:rFonts w:ascii="Times New Roman" w:eastAsia="Times New Roman" w:hAnsi="Times New Roman" w:cs="Times New Roman"/>
          <w:highlight w:val="white"/>
        </w:rPr>
        <w:t xml:space="preserve"> and </w:t>
      </w:r>
      <w:proofErr w:type="spellStart"/>
      <w:r>
        <w:rPr>
          <w:rFonts w:ascii="Times New Roman" w:eastAsia="Times New Roman" w:hAnsi="Times New Roman" w:cs="Times New Roman"/>
          <w:highlight w:val="white"/>
        </w:rPr>
        <w:t>Mandrik</w:t>
      </w:r>
      <w:proofErr w:type="spellEnd"/>
      <w:r>
        <w:rPr>
          <w:rFonts w:ascii="Times New Roman" w:eastAsia="Times New Roman" w:hAnsi="Times New Roman" w:cs="Times New Roman"/>
          <w:highlight w:val="white"/>
        </w:rPr>
        <w:t xml:space="preserve"> 2022; </w:t>
      </w:r>
      <w:proofErr w:type="spellStart"/>
      <w:r>
        <w:rPr>
          <w:rFonts w:ascii="Times New Roman" w:eastAsia="Times New Roman" w:hAnsi="Times New Roman" w:cs="Times New Roman"/>
        </w:rPr>
        <w:t>Lissillour</w:t>
      </w:r>
      <w:proofErr w:type="spellEnd"/>
      <w:r>
        <w:rPr>
          <w:rFonts w:ascii="Times New Roman" w:eastAsia="Times New Roman" w:hAnsi="Times New Roman" w:cs="Times New Roman"/>
        </w:rPr>
        <w:t xml:space="preserve"> et al. 2025), or teenagers can influence peers to make green purchases (Lee 2008)</w:t>
      </w:r>
      <w:r>
        <w:rPr>
          <w:rFonts w:ascii="Times New Roman" w:eastAsia="Times New Roman" w:hAnsi="Times New Roman" w:cs="Times New Roman"/>
          <w:highlight w:val="white"/>
        </w:rPr>
        <w:t xml:space="preserve">. </w:t>
      </w:r>
    </w:p>
    <w:p w14:paraId="00000163" w14:textId="77777777" w:rsidR="00AB4CD0" w:rsidRDefault="004C12C0">
      <w:pPr>
        <w:spacing w:before="120"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Peer-to-peer effects can be amplified through social networks. For instance, </w:t>
      </w:r>
      <w:proofErr w:type="spellStart"/>
      <w:r>
        <w:rPr>
          <w:rFonts w:ascii="Times New Roman" w:eastAsia="Times New Roman" w:hAnsi="Times New Roman" w:cs="Times New Roman"/>
          <w:highlight w:val="white"/>
        </w:rPr>
        <w:t>TikTok</w:t>
      </w:r>
      <w:proofErr w:type="spellEnd"/>
      <w:r>
        <w:rPr>
          <w:rFonts w:ascii="Times New Roman" w:eastAsia="Times New Roman" w:hAnsi="Times New Roman" w:cs="Times New Roman"/>
          <w:highlight w:val="white"/>
        </w:rPr>
        <w:t xml:space="preserve"> and YouTube “thrift haul” videos—where creators showcase </w:t>
      </w:r>
      <w:r>
        <w:rPr>
          <w:rFonts w:ascii="Times New Roman" w:eastAsia="Times New Roman" w:hAnsi="Times New Roman" w:cs="Times New Roman"/>
          <w:highlight w:val="white"/>
        </w:rPr>
        <w:t xml:space="preserve">their second-hand fashion finds—have surged in popularity, amassing billions of views and helping to normalize buying pre-owned/second-hand clothing over purchasing new fast-fashion items (Maguire 2022). </w:t>
      </w:r>
    </w:p>
    <w:p w14:paraId="00000164"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With the rise of the “sharing economy” (</w:t>
      </w:r>
      <w:proofErr w:type="spellStart"/>
      <w:r>
        <w:rPr>
          <w:rFonts w:ascii="Times New Roman" w:eastAsia="Times New Roman" w:hAnsi="Times New Roman" w:cs="Times New Roman"/>
          <w:highlight w:val="white"/>
        </w:rPr>
        <w:t>Dellaert</w:t>
      </w:r>
      <w:proofErr w:type="spellEnd"/>
      <w:r>
        <w:rPr>
          <w:rFonts w:ascii="Times New Roman" w:eastAsia="Times New Roman" w:hAnsi="Times New Roman" w:cs="Times New Roman"/>
          <w:highlight w:val="white"/>
        </w:rPr>
        <w:t>, 2</w:t>
      </w:r>
      <w:r>
        <w:rPr>
          <w:rFonts w:ascii="Times New Roman" w:eastAsia="Times New Roman" w:hAnsi="Times New Roman" w:cs="Times New Roman"/>
          <w:highlight w:val="white"/>
        </w:rPr>
        <w:t>019), small retailers (such as sellers on Etsy or Facebook Marketplace, or hosts on Airbnb) can also be considered micro actors, potentially influencing the sustainable behavior of other small retailers, as well as on their consumers and the communities ar</w:t>
      </w:r>
      <w:r>
        <w:rPr>
          <w:rFonts w:ascii="Times New Roman" w:eastAsia="Times New Roman" w:hAnsi="Times New Roman" w:cs="Times New Roman"/>
          <w:highlight w:val="white"/>
        </w:rPr>
        <w:t>ound them.</w:t>
      </w:r>
      <w:r>
        <w:rPr>
          <w:rFonts w:ascii="Times New Roman" w:eastAsia="Times New Roman" w:hAnsi="Times New Roman" w:cs="Times New Roman"/>
          <w:color w:val="6AA84F"/>
          <w:highlight w:val="white"/>
        </w:rPr>
        <w:t xml:space="preserve"> </w:t>
      </w:r>
      <w:r>
        <w:rPr>
          <w:rFonts w:ascii="Times New Roman" w:eastAsia="Times New Roman" w:hAnsi="Times New Roman" w:cs="Times New Roman"/>
        </w:rPr>
        <w:t xml:space="preserve">For example, “micro-enterprise” retailers in the town of </w:t>
      </w:r>
      <w:proofErr w:type="spellStart"/>
      <w:r>
        <w:rPr>
          <w:rFonts w:ascii="Times New Roman" w:eastAsia="Times New Roman" w:hAnsi="Times New Roman" w:cs="Times New Roman"/>
        </w:rPr>
        <w:t>Modbury</w:t>
      </w:r>
      <w:proofErr w:type="spellEnd"/>
      <w:r>
        <w:rPr>
          <w:rFonts w:ascii="Times New Roman" w:eastAsia="Times New Roman" w:hAnsi="Times New Roman" w:cs="Times New Roman"/>
        </w:rPr>
        <w:t xml:space="preserve"> were early adopters of a “no plastic bag” campaign, which quickly spread and soon “not one trader wanted to continue to use plastic bags” (Carrigan, </w:t>
      </w:r>
      <w:proofErr w:type="spellStart"/>
      <w:r>
        <w:rPr>
          <w:rFonts w:ascii="Times New Roman" w:eastAsia="Times New Roman" w:hAnsi="Times New Roman" w:cs="Times New Roman"/>
        </w:rPr>
        <w:t>Moraes</w:t>
      </w:r>
      <w:proofErr w:type="spellEnd"/>
      <w:r>
        <w:rPr>
          <w:rFonts w:ascii="Times New Roman" w:eastAsia="Times New Roman" w:hAnsi="Times New Roman" w:cs="Times New Roman"/>
        </w:rPr>
        <w:t>, &amp; Leek, 2011).</w:t>
      </w:r>
    </w:p>
    <w:p w14:paraId="00000165" w14:textId="77777777" w:rsidR="00AB4CD0" w:rsidRDefault="00AB4CD0">
      <w:pPr>
        <w:spacing w:before="120" w:line="480" w:lineRule="auto"/>
        <w:ind w:firstLine="720"/>
        <w:jc w:val="both"/>
        <w:rPr>
          <w:rFonts w:ascii="Times New Roman" w:eastAsia="Times New Roman" w:hAnsi="Times New Roman" w:cs="Times New Roman"/>
        </w:rPr>
      </w:pPr>
    </w:p>
    <w:p w14:paraId="00000166" w14:textId="77777777" w:rsidR="00AB4CD0" w:rsidRDefault="004C12C0">
      <w:pPr>
        <w:spacing w:before="120" w:line="480" w:lineRule="auto"/>
        <w:jc w:val="both"/>
        <w:rPr>
          <w:rFonts w:ascii="Times New Roman" w:eastAsia="Times New Roman" w:hAnsi="Times New Roman" w:cs="Times New Roman"/>
          <w:i/>
          <w:iCs/>
        </w:rPr>
      </w:pPr>
      <w:r>
        <w:rPr>
          <w:rFonts w:ascii="Times New Roman" w:eastAsia="Times New Roman" w:hAnsi="Times New Roman" w:cs="Times New Roman"/>
          <w:i/>
          <w:iCs/>
        </w:rPr>
        <w:t>3.1. So</w:t>
      </w:r>
      <w:r>
        <w:rPr>
          <w:rFonts w:ascii="Times New Roman" w:eastAsia="Times New Roman" w:hAnsi="Times New Roman" w:cs="Times New Roman"/>
          <w:i/>
          <w:iCs/>
        </w:rPr>
        <w:t>cial-norm effects</w:t>
      </w:r>
    </w:p>
    <w:p w14:paraId="00000167"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Social norms refer to self-enforced patterns of behavior or shared informal rules that align with individuals’ beliefs about what others in reference groups do (descriptive norms) or think should be done (injunctive norms) (Constantino et</w:t>
      </w:r>
      <w:r>
        <w:rPr>
          <w:rFonts w:ascii="Times New Roman" w:eastAsia="Times New Roman" w:hAnsi="Times New Roman" w:cs="Times New Roman"/>
        </w:rPr>
        <w:t xml:space="preserve"> al. 2022).</w:t>
      </w:r>
      <w:r>
        <w:rPr>
          <w:rFonts w:ascii="Times New Roman" w:eastAsia="Times New Roman" w:hAnsi="Times New Roman" w:cs="Times New Roman"/>
          <w:color w:val="6AA84F"/>
          <w:highlight w:val="white"/>
        </w:rPr>
        <w:t xml:space="preserve"> </w:t>
      </w:r>
      <w:r>
        <w:rPr>
          <w:rFonts w:ascii="Times New Roman" w:eastAsia="Times New Roman" w:hAnsi="Times New Roman" w:cs="Times New Roman"/>
          <w:highlight w:val="white"/>
        </w:rPr>
        <w:t xml:space="preserve">In one example, </w:t>
      </w:r>
      <w:r>
        <w:rPr>
          <w:rFonts w:ascii="Times New Roman" w:eastAsia="Times New Roman" w:hAnsi="Times New Roman" w:cs="Times New Roman"/>
        </w:rPr>
        <w:t xml:space="preserve">informing online shoppers that “other people are buying sustainable products” resulted in a 65% increase in </w:t>
      </w:r>
      <w:r>
        <w:rPr>
          <w:rFonts w:ascii="Times New Roman" w:eastAsia="Times New Roman" w:hAnsi="Times New Roman" w:cs="Times New Roman"/>
        </w:rPr>
        <w:lastRenderedPageBreak/>
        <w:t>sustainable purchases (White, Hardisty, &amp; Habib 2019). Merely learning that “More and more guests are choosing meat-free</w:t>
      </w:r>
      <w:r>
        <w:rPr>
          <w:rFonts w:ascii="Times New Roman" w:eastAsia="Times New Roman" w:hAnsi="Times New Roman" w:cs="Times New Roman"/>
        </w:rPr>
        <w:t xml:space="preserve"> meals each day” doubled the share of customers ordering a vegetarian entrée, from 17% in the control condition to 34% under a dynamic-norm message (Sparkman &amp; Walton 2017). While peer-to-peer influence on traditional consumption is well-researched, peer-t</w:t>
      </w:r>
      <w:r>
        <w:rPr>
          <w:rFonts w:ascii="Times New Roman" w:eastAsia="Times New Roman" w:hAnsi="Times New Roman" w:cs="Times New Roman"/>
        </w:rPr>
        <w:t>o-peer sustainability behaviors have been understudied, and differ on key dimensions: they often involve consuming less, are less visible, and require long-term commitment for cumulative benefit. These differences call for distinct consideration. For examp</w:t>
      </w:r>
      <w:r>
        <w:rPr>
          <w:rFonts w:ascii="Times New Roman" w:eastAsia="Times New Roman" w:hAnsi="Times New Roman" w:cs="Times New Roman"/>
        </w:rPr>
        <w:t xml:space="preserve">le, trust may be more important in the sustainability domain, given concerns about greenwashing (Fella &amp; </w:t>
      </w:r>
      <w:proofErr w:type="spellStart"/>
      <w:r>
        <w:rPr>
          <w:rFonts w:ascii="Times New Roman" w:eastAsia="Times New Roman" w:hAnsi="Times New Roman" w:cs="Times New Roman"/>
        </w:rPr>
        <w:t>Bausa</w:t>
      </w:r>
      <w:proofErr w:type="spellEnd"/>
      <w:r>
        <w:rPr>
          <w:rFonts w:ascii="Times New Roman" w:eastAsia="Times New Roman" w:hAnsi="Times New Roman" w:cs="Times New Roman"/>
        </w:rPr>
        <w:t xml:space="preserve"> 2024). </w:t>
      </w:r>
    </w:p>
    <w:p w14:paraId="00000168" w14:textId="77777777" w:rsidR="00AB4CD0" w:rsidRDefault="004C12C0">
      <w:pPr>
        <w:spacing w:before="120" w:line="480" w:lineRule="auto"/>
        <w:jc w:val="both"/>
        <w:rPr>
          <w:rFonts w:ascii="Times New Roman" w:eastAsia="Times New Roman" w:hAnsi="Times New Roman" w:cs="Times New Roman"/>
          <w:i/>
          <w:iCs/>
        </w:rPr>
      </w:pPr>
      <w:r>
        <w:rPr>
          <w:rFonts w:ascii="Times New Roman" w:eastAsia="Times New Roman" w:hAnsi="Times New Roman" w:cs="Times New Roman"/>
          <w:i/>
          <w:iCs/>
        </w:rPr>
        <w:t>3.2. Factors shaping social-norm effects</w:t>
      </w:r>
    </w:p>
    <w:p w14:paraId="00000169"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Social norms are powerful drivers of sustainable behavior contagion, but contextual factors shap</w:t>
      </w:r>
      <w:r>
        <w:rPr>
          <w:rFonts w:ascii="Times New Roman" w:eastAsia="Times New Roman" w:hAnsi="Times New Roman" w:cs="Times New Roman"/>
        </w:rPr>
        <w:t xml:space="preserve">e the strength and direction of such social influence. For example, </w:t>
      </w:r>
      <w:proofErr w:type="spellStart"/>
      <w:r>
        <w:rPr>
          <w:rFonts w:ascii="Times New Roman" w:eastAsia="Times New Roman" w:hAnsi="Times New Roman" w:cs="Times New Roman"/>
        </w:rPr>
        <w:t>Abrahamse</w:t>
      </w:r>
      <w:proofErr w:type="spellEnd"/>
      <w:r>
        <w:rPr>
          <w:rFonts w:ascii="Times New Roman" w:eastAsia="Times New Roman" w:hAnsi="Times New Roman" w:cs="Times New Roman"/>
        </w:rPr>
        <w:t xml:space="preserve"> and Steg (2013) and Nguyen-Van et al. (2021) demonstrate that large networks with strong connections enhance the effectiveness. White and Simpson (2013) find that social norms ar</w:t>
      </w:r>
      <w:r>
        <w:rPr>
          <w:rFonts w:ascii="Times New Roman" w:eastAsia="Times New Roman" w:hAnsi="Times New Roman" w:cs="Times New Roman"/>
        </w:rPr>
        <w:t>e only effective when people think of themselves as part of a larger collective. Bollinger et al. (2022) show that the impact of social norms on sustainable behavior is stronger when the behaviors being imitated are more visible (i.e., higher visibility so</w:t>
      </w:r>
      <w:r>
        <w:rPr>
          <w:rFonts w:ascii="Times New Roman" w:eastAsia="Times New Roman" w:hAnsi="Times New Roman" w:cs="Times New Roman"/>
        </w:rPr>
        <w:t xml:space="preserve">lar panels have a greater subsequent influence on neighbors’ adoption of solar panels). </w:t>
      </w:r>
      <w:proofErr w:type="spellStart"/>
      <w:r>
        <w:rPr>
          <w:rFonts w:ascii="Times New Roman" w:eastAsia="Times New Roman" w:hAnsi="Times New Roman" w:cs="Times New Roman"/>
        </w:rPr>
        <w:t>Hogreve</w:t>
      </w:r>
      <w:proofErr w:type="spellEnd"/>
      <w:r>
        <w:rPr>
          <w:rFonts w:ascii="Times New Roman" w:eastAsia="Times New Roman" w:hAnsi="Times New Roman" w:cs="Times New Roman"/>
        </w:rPr>
        <w:t xml:space="preserve"> et al. (2021) find that the effect of social norms is stronger in consumers with a high tendency to engage in social comparison.</w:t>
      </w:r>
    </w:p>
    <w:p w14:paraId="0000016A"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Which individuals or groups are</w:t>
      </w:r>
      <w:r>
        <w:rPr>
          <w:rFonts w:ascii="Times New Roman" w:eastAsia="Times New Roman" w:hAnsi="Times New Roman" w:cs="Times New Roman"/>
        </w:rPr>
        <w:t xml:space="preserve"> most influential (the reference group) can vary across behaviors and contexts. </w:t>
      </w:r>
      <w:proofErr w:type="spellStart"/>
      <w:r>
        <w:rPr>
          <w:rFonts w:ascii="Times New Roman" w:eastAsia="Times New Roman" w:hAnsi="Times New Roman" w:cs="Times New Roman"/>
        </w:rPr>
        <w:t>Hofenk</w:t>
      </w:r>
      <w:proofErr w:type="spellEnd"/>
      <w:r>
        <w:rPr>
          <w:rFonts w:ascii="Times New Roman" w:eastAsia="Times New Roman" w:hAnsi="Times New Roman" w:cs="Times New Roman"/>
        </w:rPr>
        <w:t xml:space="preserve"> et al. (2019) show that consumers respond more positively to sustainability initiatives when messaged by credible sources, like scientists or third-party organizations, </w:t>
      </w:r>
      <w:r>
        <w:rPr>
          <w:rFonts w:ascii="Times New Roman" w:eastAsia="Times New Roman" w:hAnsi="Times New Roman" w:cs="Times New Roman"/>
        </w:rPr>
        <w:t xml:space="preserve">especially if paired with product-level sustainability labeling. </w:t>
      </w:r>
      <w:proofErr w:type="spellStart"/>
      <w:r>
        <w:rPr>
          <w:rFonts w:ascii="Times New Roman" w:eastAsia="Times New Roman" w:hAnsi="Times New Roman" w:cs="Times New Roman"/>
        </w:rPr>
        <w:t>Videras</w:t>
      </w:r>
      <w:proofErr w:type="spellEnd"/>
      <w:r>
        <w:rPr>
          <w:rFonts w:ascii="Times New Roman" w:eastAsia="Times New Roman" w:hAnsi="Times New Roman" w:cs="Times New Roman"/>
        </w:rPr>
        <w:t xml:space="preserve"> et al. (2012) </w:t>
      </w:r>
      <w:r>
        <w:rPr>
          <w:rFonts w:ascii="Times New Roman" w:eastAsia="Times New Roman" w:hAnsi="Times New Roman" w:cs="Times New Roman"/>
        </w:rPr>
        <w:lastRenderedPageBreak/>
        <w:t>find that different types of relationships (relatives, neighbors, coworkers) encourage different types of sustainable behaviors; for example, green families increase alt</w:t>
      </w:r>
      <w:r>
        <w:rPr>
          <w:rFonts w:ascii="Times New Roman" w:eastAsia="Times New Roman" w:hAnsi="Times New Roman" w:cs="Times New Roman"/>
        </w:rPr>
        <w:t xml:space="preserve">ruistic and community behaviors, while coworker ties increase cost-saving activities. </w:t>
      </w:r>
      <w:proofErr w:type="spellStart"/>
      <w:r>
        <w:rPr>
          <w:rFonts w:ascii="Times New Roman" w:eastAsia="Times New Roman" w:hAnsi="Times New Roman" w:cs="Times New Roman"/>
        </w:rPr>
        <w:t>Essiz</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Mandrik</w:t>
      </w:r>
      <w:proofErr w:type="spellEnd"/>
      <w:r>
        <w:rPr>
          <w:rFonts w:ascii="Times New Roman" w:eastAsia="Times New Roman" w:hAnsi="Times New Roman" w:cs="Times New Roman"/>
        </w:rPr>
        <w:t xml:space="preserve"> (2022) and </w:t>
      </w:r>
      <w:proofErr w:type="spellStart"/>
      <w:r>
        <w:rPr>
          <w:rFonts w:ascii="Times New Roman" w:eastAsia="Times New Roman" w:hAnsi="Times New Roman" w:cs="Times New Roman"/>
        </w:rPr>
        <w:t>Lissillour</w:t>
      </w:r>
      <w:proofErr w:type="spellEnd"/>
      <w:r>
        <w:rPr>
          <w:rFonts w:ascii="Times New Roman" w:eastAsia="Times New Roman" w:hAnsi="Times New Roman" w:cs="Times New Roman"/>
        </w:rPr>
        <w:t xml:space="preserve"> et al. (2025) find significant transmission effects, wherein daughters educate and influence their mothers towards sustainable pur</w:t>
      </w:r>
      <w:r>
        <w:rPr>
          <w:rFonts w:ascii="Times New Roman" w:eastAsia="Times New Roman" w:hAnsi="Times New Roman" w:cs="Times New Roman"/>
        </w:rPr>
        <w:t xml:space="preserve">chases. </w:t>
      </w:r>
    </w:p>
    <w:p w14:paraId="0000016B"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Another well-studied mechanism of peer-to-peer influence is status. For instance, </w:t>
      </w:r>
      <w:proofErr w:type="spellStart"/>
      <w:r>
        <w:rPr>
          <w:rFonts w:ascii="Times New Roman" w:eastAsia="Times New Roman" w:hAnsi="Times New Roman" w:cs="Times New Roman"/>
        </w:rPr>
        <w:t>Griskevicius</w:t>
      </w:r>
      <w:proofErr w:type="spellEnd"/>
      <w:r>
        <w:rPr>
          <w:rFonts w:ascii="Times New Roman" w:eastAsia="Times New Roman" w:hAnsi="Times New Roman" w:cs="Times New Roman"/>
        </w:rPr>
        <w:t xml:space="preserve"> et al. (2010) find that status motivates increased desire for sustainable products when shopping in public and when sustainable products cost more. Ther</w:t>
      </w:r>
      <w:r>
        <w:rPr>
          <w:rFonts w:ascii="Times New Roman" w:eastAsia="Times New Roman" w:hAnsi="Times New Roman" w:cs="Times New Roman"/>
        </w:rPr>
        <w:t>efore, consumers can increase the sustainability of their peers by “showing it off” as a status signal. Similarly, Brooks and Wilson (2015) show that when consumption-reducing behavior is a choice, perceived status is higher than when it is a necessity, bu</w:t>
      </w:r>
      <w:r>
        <w:rPr>
          <w:rFonts w:ascii="Times New Roman" w:eastAsia="Times New Roman" w:hAnsi="Times New Roman" w:cs="Times New Roman"/>
        </w:rPr>
        <w:t xml:space="preserve">t they also find consumption-reduction behaviors are less successful than consumption as signals of status. </w:t>
      </w:r>
    </w:p>
    <w:p w14:paraId="0000016C"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However, several studies show that individuals discount prosocial or pro-environmental behaviors of actors who receive private benefits for those a</w:t>
      </w:r>
      <w:r>
        <w:rPr>
          <w:rFonts w:ascii="Times New Roman" w:eastAsia="Times New Roman" w:hAnsi="Times New Roman" w:cs="Times New Roman"/>
        </w:rPr>
        <w:t xml:space="preserve">ctions, such as monetary or reputational gains (Barclay &amp; </w:t>
      </w:r>
      <w:proofErr w:type="spellStart"/>
      <w:r>
        <w:rPr>
          <w:rFonts w:ascii="Times New Roman" w:eastAsia="Times New Roman" w:hAnsi="Times New Roman" w:cs="Times New Roman"/>
        </w:rPr>
        <w:t>Willer</w:t>
      </w:r>
      <w:proofErr w:type="spellEnd"/>
      <w:r>
        <w:rPr>
          <w:rFonts w:ascii="Times New Roman" w:eastAsia="Times New Roman" w:hAnsi="Times New Roman" w:cs="Times New Roman"/>
        </w:rPr>
        <w:t xml:space="preserve"> 2007), because they perceive these actions to be empty gestures, which can reduce the potential for peer influence. The perception of “virtue signaling” can be reduced when the behavior is co</w:t>
      </w:r>
      <w:r>
        <w:rPr>
          <w:rFonts w:ascii="Times New Roman" w:eastAsia="Times New Roman" w:hAnsi="Times New Roman" w:cs="Times New Roman"/>
        </w:rPr>
        <w:t>stly, for example when green products cost more or are of lower quality (</w:t>
      </w:r>
      <w:proofErr w:type="spellStart"/>
      <w:r>
        <w:rPr>
          <w:rFonts w:ascii="Times New Roman" w:eastAsia="Times New Roman" w:hAnsi="Times New Roman" w:cs="Times New Roman"/>
        </w:rPr>
        <w:t>Griskevicius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Tyber</w:t>
      </w:r>
      <w:proofErr w:type="spellEnd"/>
      <w:r>
        <w:rPr>
          <w:rFonts w:ascii="Times New Roman" w:eastAsia="Times New Roman" w:hAnsi="Times New Roman" w:cs="Times New Roman"/>
        </w:rPr>
        <w:t>, &amp; Van den Bergh 2010). Unsurprisingly, those advocating for a particular behavior or norm may be more effective when their own behaviors are aligned with what the</w:t>
      </w:r>
      <w:r>
        <w:rPr>
          <w:rFonts w:ascii="Times New Roman" w:eastAsia="Times New Roman" w:hAnsi="Times New Roman" w:cs="Times New Roman"/>
        </w:rPr>
        <w:t xml:space="preserve">y are advocating. For example, in a field study of rooftop solar adoption, community organizers who had installed solar panels on their own homes recruited 63% more solar installations than those who had not (Kraft-Todd et al. 2018). </w:t>
      </w:r>
    </w:p>
    <w:p w14:paraId="0000016D" w14:textId="77777777" w:rsidR="00AB4CD0" w:rsidRDefault="004C12C0">
      <w:pPr>
        <w:spacing w:before="120" w:line="480" w:lineRule="auto"/>
        <w:rPr>
          <w:rFonts w:ascii="Times New Roman" w:eastAsia="Times New Roman" w:hAnsi="Times New Roman" w:cs="Times New Roman"/>
          <w:i/>
          <w:iCs/>
        </w:rPr>
      </w:pPr>
      <w:r>
        <w:rPr>
          <w:rFonts w:ascii="Times New Roman" w:eastAsia="Times New Roman" w:hAnsi="Times New Roman" w:cs="Times New Roman"/>
          <w:i/>
          <w:iCs/>
        </w:rPr>
        <w:t xml:space="preserve">3.3. Feasibility and </w:t>
      </w:r>
      <w:r>
        <w:rPr>
          <w:rFonts w:ascii="Times New Roman" w:eastAsia="Times New Roman" w:hAnsi="Times New Roman" w:cs="Times New Roman"/>
          <w:i/>
          <w:iCs/>
        </w:rPr>
        <w:t xml:space="preserve">impact </w:t>
      </w:r>
      <w:proofErr w:type="gramStart"/>
      <w:r>
        <w:rPr>
          <w:rFonts w:ascii="Times New Roman" w:eastAsia="Times New Roman" w:hAnsi="Times New Roman" w:cs="Times New Roman"/>
          <w:i/>
          <w:iCs/>
        </w:rPr>
        <w:t>Quadrant</w:t>
      </w:r>
      <w:proofErr w:type="gramEnd"/>
      <w:r>
        <w:rPr>
          <w:rFonts w:ascii="Times New Roman" w:eastAsia="Times New Roman" w:hAnsi="Times New Roman" w:cs="Times New Roman"/>
          <w:i/>
          <w:iCs/>
        </w:rPr>
        <w:t xml:space="preserve"> I (QI)</w:t>
      </w:r>
    </w:p>
    <w:p w14:paraId="0000016E" w14:textId="77777777" w:rsidR="00AB4CD0" w:rsidRDefault="004C12C0">
      <w:pPr>
        <w:spacing w:before="120" w:line="48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rPr>
        <w:lastRenderedPageBreak/>
        <w:t>QI interventions are more social and behavioral in nature, so feasibility often depends on networks, participation and cultural resonance, while impact depends on the domain and whether consumers commit long-term to achieve environmental benefits. In addit</w:t>
      </w:r>
      <w:r>
        <w:rPr>
          <w:rFonts w:ascii="Times New Roman" w:eastAsia="Times New Roman" w:hAnsi="Times New Roman" w:cs="Times New Roman"/>
        </w:rPr>
        <w:t>ion,</w:t>
      </w:r>
      <w:r>
        <w:rPr>
          <w:rFonts w:ascii="Times New Roman" w:eastAsia="Times New Roman" w:hAnsi="Times New Roman" w:cs="Times New Roman"/>
          <w:sz w:val="26"/>
          <w:szCs w:val="26"/>
        </w:rPr>
        <w:t xml:space="preserve"> </w:t>
      </w:r>
      <w:r>
        <w:rPr>
          <w:rFonts w:ascii="Times New Roman" w:eastAsia="Times New Roman" w:hAnsi="Times New Roman" w:cs="Times New Roman"/>
          <w:highlight w:val="white"/>
        </w:rPr>
        <w:t>the findings in the social influence literature have also been leveraged by macro actors, such as firms and governments, to amplify the impact of their interventions; for instance, through the crafting of advertisements and educational programming tha</w:t>
      </w:r>
      <w:r>
        <w:rPr>
          <w:rFonts w:ascii="Times New Roman" w:eastAsia="Times New Roman" w:hAnsi="Times New Roman" w:cs="Times New Roman"/>
          <w:highlight w:val="white"/>
        </w:rPr>
        <w:t>t include information about peers (see also QII).</w:t>
      </w:r>
    </w:p>
    <w:p w14:paraId="0000016F"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Behavioral nudges leveraging social norms and peer influence (high-feasibility, high-impact quadrant) represent the “low-hanging fruit” of QI interventions: they are cheap, scalable, and deliver measurable </w:t>
      </w:r>
      <w:r>
        <w:rPr>
          <w:rFonts w:ascii="Times New Roman" w:eastAsia="Times New Roman" w:hAnsi="Times New Roman" w:cs="Times New Roman"/>
        </w:rPr>
        <w:t xml:space="preserve">effects. By contrast, structural initiatives such as rooftop solar installations, which are low-feasibility and high-impact interventions, are potentially transformative in their environmental benefits, but face substantial financial, infrastructural, and </w:t>
      </w:r>
      <w:r>
        <w:rPr>
          <w:rFonts w:ascii="Times New Roman" w:eastAsia="Times New Roman" w:hAnsi="Times New Roman" w:cs="Times New Roman"/>
        </w:rPr>
        <w:t xml:space="preserve">coordination barriers that significantly constrain widespread adoption. Conversely, grassroots campaigns and local sharing economies are highly feasible, and while low in individual impact, can diffuse widely and act as cultural primers for larger shifts. </w:t>
      </w:r>
      <w:r>
        <w:rPr>
          <w:rFonts w:ascii="Times New Roman" w:eastAsia="Times New Roman" w:hAnsi="Times New Roman" w:cs="Times New Roman"/>
        </w:rPr>
        <w:t>Finally, gift economies, initiatives like Buy Nothing Day, and peer-to-peer influence like “thrift haul” videos (low-feasibility, low-impact) are more symbolic acts meant to raise awareness and prompt reflection on consumption habits and do not produce qua</w:t>
      </w:r>
      <w:r>
        <w:rPr>
          <w:rFonts w:ascii="Times New Roman" w:eastAsia="Times New Roman" w:hAnsi="Times New Roman" w:cs="Times New Roman"/>
        </w:rPr>
        <w:t>ntifiable reductions in emissions.</w:t>
      </w:r>
    </w:p>
    <w:p w14:paraId="00000170" w14:textId="77777777" w:rsidR="00AB4CD0" w:rsidRDefault="004C12C0">
      <w:pPr>
        <w:numPr>
          <w:ilvl w:val="0"/>
          <w:numId w:val="2"/>
        </w:numPr>
        <w:pBdr>
          <w:top w:val="nil"/>
          <w:left w:val="nil"/>
          <w:bottom w:val="nil"/>
          <w:right w:val="nil"/>
          <w:between w:val="nil"/>
        </w:pBdr>
        <w:spacing w:before="120" w:line="480" w:lineRule="auto"/>
        <w:ind w:left="357" w:hanging="357"/>
        <w:rPr>
          <w:rFonts w:ascii="Times New Roman" w:eastAsia="Times New Roman" w:hAnsi="Times New Roman" w:cs="Times New Roman"/>
        </w:rPr>
      </w:pPr>
      <w:sdt>
        <w:sdtPr>
          <w:tag w:val="goog_rdk_20"/>
          <w:id w:val="1029096428"/>
        </w:sdtPr>
        <w:sdtEndPr/>
        <w:sdtContent>
          <w:r>
            <w:rPr>
              <w:rFonts w:ascii="Cardo" w:eastAsia="Cardo" w:hAnsi="Cardo" w:cs="Cardo"/>
              <w:b/>
              <w:bCs/>
              <w:color w:val="000000"/>
            </w:rPr>
            <w:t xml:space="preserve">Quadrant II: </w:t>
          </w:r>
          <w:proofErr w:type="spellStart"/>
          <w:r>
            <w:rPr>
              <w:rFonts w:ascii="Cardo" w:eastAsia="Cardo" w:hAnsi="Cardo" w:cs="Cardo"/>
              <w:b/>
              <w:bCs/>
              <w:color w:val="000000"/>
            </w:rPr>
            <w:t>Macro→Micro</w:t>
          </w:r>
          <w:proofErr w:type="spellEnd"/>
          <w:r>
            <w:rPr>
              <w:rFonts w:ascii="Cardo" w:eastAsia="Cardo" w:hAnsi="Cardo" w:cs="Cardo"/>
              <w:b/>
              <w:bCs/>
              <w:color w:val="000000"/>
            </w:rPr>
            <w:t xml:space="preserve"> Influence</w:t>
          </w:r>
        </w:sdtContent>
      </w:sdt>
    </w:p>
    <w:p w14:paraId="00000171"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Macro sources, such as firms and governments, can impact micro targets, such as consumers, employees, or shareholders via policies and programs to promote the transition to sustainable production and consumption. The literature focuses on behavioral change</w:t>
      </w:r>
      <w:r>
        <w:rPr>
          <w:rFonts w:ascii="Times New Roman" w:eastAsia="Times New Roman" w:hAnsi="Times New Roman" w:cs="Times New Roman"/>
        </w:rPr>
        <w:t xml:space="preserve"> measures implemented by government actors and agencies as sources, targeting consumers: monetary incentives (e.g., tax credits, rebates), non-monetary incentives (e.g., single-occupancy access to </w:t>
      </w:r>
      <w:r>
        <w:rPr>
          <w:rFonts w:ascii="Times New Roman" w:eastAsia="Times New Roman" w:hAnsi="Times New Roman" w:cs="Times New Roman"/>
        </w:rPr>
        <w:lastRenderedPageBreak/>
        <w:t xml:space="preserve">high-occupancy vehicle lanes), and nudges (e.g., real-time </w:t>
      </w:r>
      <w:r>
        <w:rPr>
          <w:rFonts w:ascii="Times New Roman" w:eastAsia="Times New Roman" w:hAnsi="Times New Roman" w:cs="Times New Roman"/>
        </w:rPr>
        <w:t>feedback, social norms, label design). Less studied macro sources include industry associations and consumer associations. Existing research mainly investigates the impact on the consumer, particularly “green consumers” (e.g., Kilbourne &amp; Beckmann 1998), f</w:t>
      </w:r>
      <w:r>
        <w:rPr>
          <w:rFonts w:ascii="Times New Roman" w:eastAsia="Times New Roman" w:hAnsi="Times New Roman" w:cs="Times New Roman"/>
        </w:rPr>
        <w:t>ocusing less on other micro-level actors such as employees and shareholders.</w:t>
      </w:r>
    </w:p>
    <w:p w14:paraId="00000172"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addition to traditional advertising, retailers try to facilitate sustainable consumer behavior through recycling, take-back and reusable packaging initiatives. For example H&amp;M </w:t>
      </w:r>
      <w:r>
        <w:rPr>
          <w:rFonts w:ascii="Times New Roman" w:eastAsia="Times New Roman" w:hAnsi="Times New Roman" w:cs="Times New Roman"/>
        </w:rPr>
        <w:t>was the first fashion company to roll out a global clothes-collecting initiative (H&amp;M Group</w:t>
      </w:r>
      <w:hyperlink r:id="rId40">
        <w:r>
          <w:rPr>
            <w:rFonts w:ascii="Times New Roman" w:eastAsia="Times New Roman" w:hAnsi="Times New Roman" w:cs="Times New Roman"/>
          </w:rPr>
          <w:t xml:space="preserve"> </w:t>
        </w:r>
      </w:hyperlink>
      <w:r>
        <w:rPr>
          <w:rFonts w:ascii="Times New Roman" w:eastAsia="Times New Roman" w:hAnsi="Times New Roman" w:cs="Times New Roman"/>
        </w:rPr>
        <w:t>2012), enabling customers to bring unwanted garm</w:t>
      </w:r>
      <w:r>
        <w:rPr>
          <w:rFonts w:ascii="Times New Roman" w:eastAsia="Times New Roman" w:hAnsi="Times New Roman" w:cs="Times New Roman"/>
        </w:rPr>
        <w:t>ents or textiles to H&amp;M stores. In return, they receive a voucher to use toward their next purchase, actively incentivizing diversion of textiles from landfill and promoting a circular fashion system. Through its “Bring It Back” Fund in the United Kingdom,</w:t>
      </w:r>
      <w:r>
        <w:rPr>
          <w:rFonts w:ascii="Times New Roman" w:eastAsia="Times New Roman" w:hAnsi="Times New Roman" w:cs="Times New Roman"/>
        </w:rPr>
        <w:t xml:space="preserve"> Starbucks, in collaboration with the environmental charity Hubbub, encouraged customers to adopt more sustainable habits by reducing reliance on single‑use packaging and promoting reuse. Programs included offering a 25 pence discount for customers who bri</w:t>
      </w:r>
      <w:r>
        <w:rPr>
          <w:rFonts w:ascii="Times New Roman" w:eastAsia="Times New Roman" w:hAnsi="Times New Roman" w:cs="Times New Roman"/>
        </w:rPr>
        <w:t>ng their own reusable cup and implementing a 5 pence charge on single-use cups in the United Kingdom (Starbucks</w:t>
      </w:r>
      <w:hyperlink r:id="rId41">
        <w:r>
          <w:rPr>
            <w:rFonts w:ascii="Times New Roman" w:eastAsia="Times New Roman" w:hAnsi="Times New Roman" w:cs="Times New Roman"/>
          </w:rPr>
          <w:t xml:space="preserve"> </w:t>
        </w:r>
      </w:hyperlink>
      <w:r>
        <w:rPr>
          <w:rFonts w:ascii="Times New Roman" w:eastAsia="Times New Roman" w:hAnsi="Times New Roman" w:cs="Times New Roman"/>
        </w:rPr>
        <w:t>2022). Othe</w:t>
      </w:r>
      <w:r>
        <w:rPr>
          <w:rFonts w:ascii="Times New Roman" w:eastAsia="Times New Roman" w:hAnsi="Times New Roman" w:cs="Times New Roman"/>
        </w:rPr>
        <w:t>r retailers have implemented initiatives targeting consumers’ electricity usage. For instance, IKEA has introduced the “Energy Insights” feature within its Swedish smart home app, enabling users to monitor real-time usage, compare it to similar households,</w:t>
      </w:r>
      <w:r>
        <w:rPr>
          <w:rFonts w:ascii="Times New Roman" w:eastAsia="Times New Roman" w:hAnsi="Times New Roman" w:cs="Times New Roman"/>
        </w:rPr>
        <w:t xml:space="preserve"> and receive personalized energy efficiency tips.</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w:t>
      </w:r>
    </w:p>
    <w:p w14:paraId="00000173"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In the automotive retail sector, consumer barriers to electric-vehicle (EV) adoption critically shape the effectiveness of macro-level initiatives. These barriers include limited awareness and experience,</w:t>
      </w:r>
      <w:r>
        <w:rPr>
          <w:rFonts w:ascii="Times New Roman" w:eastAsia="Times New Roman" w:hAnsi="Times New Roman" w:cs="Times New Roman"/>
        </w:rPr>
        <w:t xml:space="preserve"> price premiums for green alternatives, range anxiety, insufficient </w:t>
      </w:r>
      <w:r>
        <w:rPr>
          <w:rFonts w:ascii="Times New Roman" w:eastAsia="Times New Roman" w:hAnsi="Times New Roman" w:cs="Times New Roman"/>
        </w:rPr>
        <w:lastRenderedPageBreak/>
        <w:t>charging infrastructure, and restricted model availability. Here federal and state governments, as well as manufacturers, have sought to offset high upfront costs by offering monetary ince</w:t>
      </w:r>
      <w:r>
        <w:rPr>
          <w:rFonts w:ascii="Times New Roman" w:eastAsia="Times New Roman" w:hAnsi="Times New Roman" w:cs="Times New Roman"/>
        </w:rPr>
        <w:t>ntives such as tax credits, cash rebates, special financing offers, and reduced registration fees.</w:t>
      </w:r>
      <w:r>
        <w:rPr>
          <w:rFonts w:ascii="Times New Roman" w:eastAsia="Times New Roman" w:hAnsi="Times New Roman" w:cs="Times New Roman"/>
          <w:vertAlign w:val="superscript"/>
        </w:rPr>
        <w:footnoteReference w:id="7"/>
      </w:r>
      <w:r>
        <w:rPr>
          <w:rFonts w:ascii="Times New Roman" w:eastAsia="Times New Roman" w:hAnsi="Times New Roman" w:cs="Times New Roman"/>
          <w:vertAlign w:val="superscript"/>
        </w:rPr>
        <w:t>,</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w:t>
      </w:r>
    </w:p>
    <w:p w14:paraId="00000174"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In addition, several initiatives have leveraged behavioral science to facilitate pro-environmental behaviors through enhanced consumer labeling and infor</w:t>
      </w:r>
      <w:r>
        <w:rPr>
          <w:rFonts w:ascii="Times New Roman" w:eastAsia="Times New Roman" w:hAnsi="Times New Roman" w:cs="Times New Roman"/>
        </w:rPr>
        <w:t>mation campaigns. For example, the Environmental Protection Agency (EPA) and the National Highway Traffic Safety Administration (NHTSA) redesigned the mandatory fuel-economy labels to display information about environmental impacts and fuel cost, which has</w:t>
      </w:r>
      <w:r>
        <w:rPr>
          <w:rFonts w:ascii="Times New Roman" w:eastAsia="Times New Roman" w:hAnsi="Times New Roman" w:cs="Times New Roman"/>
        </w:rPr>
        <w:t xml:space="preserve"> been demonstrated to increase fuel-efficient car choices and narrow the attitude-behavior gap (Ungemach et al. 2018). Similarly, </w:t>
      </w:r>
      <w:proofErr w:type="spellStart"/>
      <w:r>
        <w:rPr>
          <w:rFonts w:ascii="Times New Roman" w:eastAsia="Times New Roman" w:hAnsi="Times New Roman" w:cs="Times New Roman"/>
        </w:rPr>
        <w:t>Opower</w:t>
      </w:r>
      <w:proofErr w:type="spellEnd"/>
      <w:r>
        <w:rPr>
          <w:rFonts w:ascii="Times New Roman" w:eastAsia="Times New Roman" w:hAnsi="Times New Roman" w:cs="Times New Roman"/>
        </w:rPr>
        <w:t>—a software‑as‑a‑service platform—partnered with U.S. utility companies to deliver personalized home‑energy reports that</w:t>
      </w:r>
      <w:r>
        <w:rPr>
          <w:rFonts w:ascii="Times New Roman" w:eastAsia="Times New Roman" w:hAnsi="Times New Roman" w:cs="Times New Roman"/>
        </w:rPr>
        <w:t xml:space="preserve"> use social comparisons to prompt households to reduce their energy consumption (</w:t>
      </w:r>
      <w:proofErr w:type="spellStart"/>
      <w:r>
        <w:rPr>
          <w:rFonts w:ascii="Times New Roman" w:eastAsia="Times New Roman" w:hAnsi="Times New Roman" w:cs="Times New Roman"/>
        </w:rPr>
        <w:t>Allcott</w:t>
      </w:r>
      <w:proofErr w:type="spellEnd"/>
      <w:r>
        <w:rPr>
          <w:rFonts w:ascii="Times New Roman" w:eastAsia="Times New Roman" w:hAnsi="Times New Roman" w:cs="Times New Roman"/>
        </w:rPr>
        <w:t xml:space="preserve"> 2011).</w:t>
      </w:r>
    </w:p>
    <w:p w14:paraId="00000175"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Combinations of macro actors have implemented measures to alleviate charging-network concerns: utility companies, municipalities, and federal agencies provide s</w:t>
      </w:r>
      <w:r>
        <w:rPr>
          <w:rFonts w:ascii="Times New Roman" w:eastAsia="Times New Roman" w:hAnsi="Times New Roman" w:cs="Times New Roman"/>
        </w:rPr>
        <w:t>ubsidies for home-charging equipment.</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Some states further complement these financial incentives with non-monetary benefits—for example, high-occupancy-vehicle (HOV) lane access—that enhance the convenience of owning a green alternative. Upstream supply-ch</w:t>
      </w:r>
      <w:r>
        <w:rPr>
          <w:rFonts w:ascii="Times New Roman" w:eastAsia="Times New Roman" w:hAnsi="Times New Roman" w:cs="Times New Roman"/>
        </w:rPr>
        <w:t xml:space="preserve">ain actors, including automobile manufacturers, dealerships, and dealer associations have also implemented training programs, </w:t>
      </w:r>
      <w:r>
        <w:rPr>
          <w:rFonts w:ascii="Times New Roman" w:eastAsia="Times New Roman" w:hAnsi="Times New Roman" w:cs="Times New Roman"/>
        </w:rPr>
        <w:lastRenderedPageBreak/>
        <w:t>certification schemes, and advertising campaigns aimed at sales personnel and consumers to improve EV knowledge and the purchase e</w:t>
      </w:r>
      <w:r>
        <w:rPr>
          <w:rFonts w:ascii="Times New Roman" w:eastAsia="Times New Roman" w:hAnsi="Times New Roman" w:cs="Times New Roman"/>
        </w:rPr>
        <w:t>xperience.</w:t>
      </w:r>
      <w:r>
        <w:rPr>
          <w:rFonts w:ascii="Times New Roman" w:eastAsia="Times New Roman" w:hAnsi="Times New Roman" w:cs="Times New Roman"/>
          <w:vertAlign w:val="superscript"/>
        </w:rPr>
        <w:footnoteReference w:id="10"/>
      </w:r>
      <w:r>
        <w:rPr>
          <w:rFonts w:ascii="Times New Roman" w:eastAsia="Times New Roman" w:hAnsi="Times New Roman" w:cs="Times New Roman"/>
          <w:vertAlign w:val="superscript"/>
        </w:rPr>
        <w:t>,</w:t>
      </w:r>
      <w:r>
        <w:rPr>
          <w:rFonts w:ascii="Times New Roman" w:eastAsia="Times New Roman" w:hAnsi="Times New Roman" w:cs="Times New Roman"/>
          <w:vertAlign w:val="superscript"/>
        </w:rPr>
        <w:footnoteReference w:id="11"/>
      </w:r>
      <w:r>
        <w:rPr>
          <w:rFonts w:ascii="Times New Roman" w:eastAsia="Times New Roman" w:hAnsi="Times New Roman" w:cs="Times New Roman"/>
          <w:vertAlign w:val="superscript"/>
        </w:rPr>
        <w:t>,</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w:t>
      </w:r>
    </w:p>
    <w:p w14:paraId="00000176" w14:textId="77777777" w:rsidR="00AB4CD0" w:rsidRDefault="00AB4CD0">
      <w:pPr>
        <w:spacing w:line="480" w:lineRule="auto"/>
        <w:ind w:firstLine="720"/>
        <w:jc w:val="both"/>
        <w:rPr>
          <w:rFonts w:ascii="Times New Roman" w:eastAsia="Times New Roman" w:hAnsi="Times New Roman" w:cs="Times New Roman"/>
        </w:rPr>
      </w:pPr>
    </w:p>
    <w:p w14:paraId="00000177" w14:textId="77777777" w:rsidR="00AB4CD0" w:rsidRDefault="004C12C0">
      <w:pPr>
        <w:spacing w:before="120" w:line="480" w:lineRule="auto"/>
        <w:rPr>
          <w:rFonts w:ascii="Times New Roman" w:eastAsia="Times New Roman" w:hAnsi="Times New Roman" w:cs="Times New Roman"/>
          <w:i/>
          <w:iCs/>
        </w:rPr>
      </w:pPr>
      <w:r>
        <w:rPr>
          <w:rFonts w:ascii="Times New Roman" w:eastAsia="Times New Roman" w:hAnsi="Times New Roman" w:cs="Times New Roman"/>
          <w:i/>
          <w:iCs/>
        </w:rPr>
        <w:t>4.1. Feasibility and impact Quadrant II (QII)</w:t>
      </w:r>
    </w:p>
    <w:p w14:paraId="00000178"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Interventions in QII range from widely adopted corporate and government programs to ambitious policies. Proven, scalable initiatives like ENERGY STAR labeling and </w:t>
      </w:r>
      <w:proofErr w:type="spellStart"/>
      <w:r>
        <w:rPr>
          <w:rFonts w:ascii="Times New Roman" w:eastAsia="Times New Roman" w:hAnsi="Times New Roman" w:cs="Times New Roman"/>
        </w:rPr>
        <w:t>Opower’s</w:t>
      </w:r>
      <w:proofErr w:type="spellEnd"/>
      <w:r>
        <w:rPr>
          <w:rFonts w:ascii="Times New Roman" w:eastAsia="Times New Roman" w:hAnsi="Times New Roman" w:cs="Times New Roman"/>
        </w:rPr>
        <w:t xml:space="preserve"> personalized home energy reports have demonstrated both high feasibility and impact.</w:t>
      </w:r>
      <w:r>
        <w:rPr>
          <w:rFonts w:ascii="Times New Roman" w:eastAsia="Times New Roman" w:hAnsi="Times New Roman" w:cs="Times New Roman"/>
        </w:rPr>
        <w:t xml:space="preserve"> These initiatives have shaped consumer decisions and industry practices for years by reaching large populations and targeting high-emissions behaviors.</w:t>
      </w:r>
    </w:p>
    <w:p w14:paraId="00000179"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Low-feasibility, high-impact interventions include policies such as carbon taxes, plug-in hybrid tax cr</w:t>
      </w:r>
      <w:r>
        <w:rPr>
          <w:rFonts w:ascii="Times New Roman" w:eastAsia="Times New Roman" w:hAnsi="Times New Roman" w:cs="Times New Roman"/>
        </w:rPr>
        <w:t>edits, and large-scale rebate programs for EV infrastructure. These measures offer great potential for environmental savings but face significant barriers, including political resistance and the need for robust supporting frameworks. Similarly, initiatives</w:t>
      </w:r>
      <w:r>
        <w:rPr>
          <w:rFonts w:ascii="Times New Roman" w:eastAsia="Times New Roman" w:hAnsi="Times New Roman" w:cs="Times New Roman"/>
        </w:rPr>
        <w:t xml:space="preserve"> such as H&amp;M’s global clothes-collecting program show promise in the high-impact domain of fashion, yet remain constrained by infrastructure limitations and participation challenges. Their long-term success depends on sustained investment and innovation in</w:t>
      </w:r>
      <w:r>
        <w:rPr>
          <w:rFonts w:ascii="Times New Roman" w:eastAsia="Times New Roman" w:hAnsi="Times New Roman" w:cs="Times New Roman"/>
        </w:rPr>
        <w:t xml:space="preserve"> textile recycling systems.</w:t>
      </w:r>
    </w:p>
    <w:p w14:paraId="0000017A"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Finally, high-feasibility, low-impact interventions include corporate-led efforts such as Starbucks’ Bring It Back Fund or Target’s Target Zero campaign. They are relatively easy to implement, yet tend to deliver incremental rat</w:t>
      </w:r>
      <w:r>
        <w:rPr>
          <w:rFonts w:ascii="Times New Roman" w:eastAsia="Times New Roman" w:hAnsi="Times New Roman" w:cs="Times New Roman"/>
        </w:rPr>
        <w:t xml:space="preserve">her than systemic change, as they focus on low impact domains (e.g., packaging, waste, recycling) and often operate at limited scale (e.g., regional </w:t>
      </w:r>
      <w:r>
        <w:rPr>
          <w:rFonts w:ascii="Times New Roman" w:eastAsia="Times New Roman" w:hAnsi="Times New Roman" w:cs="Times New Roman"/>
        </w:rPr>
        <w:lastRenderedPageBreak/>
        <w:t>trials). Likewise, measures like hybrid vehicle HOV lane access or targeted financing incentives, while hig</w:t>
      </w:r>
      <w:r>
        <w:rPr>
          <w:rFonts w:ascii="Times New Roman" w:eastAsia="Times New Roman" w:hAnsi="Times New Roman" w:cs="Times New Roman"/>
        </w:rPr>
        <w:t xml:space="preserve">hly feasible and symbolically important, are unlikely to have large environmental impacts. </w:t>
      </w:r>
    </w:p>
    <w:p w14:paraId="0000017B" w14:textId="77777777" w:rsidR="00AB4CD0" w:rsidRDefault="004C12C0">
      <w:pPr>
        <w:numPr>
          <w:ilvl w:val="0"/>
          <w:numId w:val="2"/>
        </w:numPr>
        <w:pBdr>
          <w:top w:val="nil"/>
          <w:left w:val="nil"/>
          <w:bottom w:val="nil"/>
          <w:right w:val="nil"/>
          <w:between w:val="nil"/>
        </w:pBdr>
        <w:spacing w:before="120" w:line="480" w:lineRule="auto"/>
        <w:ind w:left="357" w:hanging="357"/>
        <w:rPr>
          <w:rFonts w:ascii="Times New Roman" w:eastAsia="Times New Roman" w:hAnsi="Times New Roman" w:cs="Times New Roman"/>
        </w:rPr>
      </w:pPr>
      <w:r>
        <w:rPr>
          <w:rFonts w:ascii="Times New Roman" w:eastAsia="Times New Roman" w:hAnsi="Times New Roman" w:cs="Times New Roman"/>
          <w:b/>
          <w:bCs/>
          <w:color w:val="000000"/>
        </w:rPr>
        <w:t xml:space="preserve">Quadrant III: </w:t>
      </w:r>
      <w:sdt>
        <w:sdtPr>
          <w:tag w:val="goog_rdk_21"/>
          <w:id w:val="2131558818"/>
        </w:sdtPr>
        <w:sdtEndPr/>
        <w:sdtContent>
          <w:proofErr w:type="spellStart"/>
          <w:r>
            <w:rPr>
              <w:rFonts w:ascii="Cardo" w:eastAsia="Cardo" w:hAnsi="Cardo" w:cs="Cardo"/>
              <w:b/>
              <w:bCs/>
              <w:color w:val="000000"/>
              <w:shd w:val="clear" w:color="auto" w:fill="FCFCFC"/>
            </w:rPr>
            <w:t>Micro→Macro</w:t>
          </w:r>
          <w:proofErr w:type="spellEnd"/>
          <w:r>
            <w:rPr>
              <w:rFonts w:ascii="Cardo" w:eastAsia="Cardo" w:hAnsi="Cardo" w:cs="Cardo"/>
              <w:b/>
              <w:bCs/>
              <w:color w:val="000000"/>
              <w:shd w:val="clear" w:color="auto" w:fill="FCFCFC"/>
            </w:rPr>
            <w:t xml:space="preserve"> </w:t>
          </w:r>
        </w:sdtContent>
      </w:sdt>
      <w:r>
        <w:rPr>
          <w:rFonts w:ascii="Times New Roman" w:eastAsia="Times New Roman" w:hAnsi="Times New Roman" w:cs="Times New Roman"/>
          <w:b/>
          <w:bCs/>
          <w:color w:val="000000"/>
        </w:rPr>
        <w:t>Influence</w:t>
      </w:r>
    </w:p>
    <w:p w14:paraId="0000017C" w14:textId="77777777" w:rsidR="00AB4CD0" w:rsidRDefault="004C12C0">
      <w:pPr>
        <w:spacing w:line="480" w:lineRule="auto"/>
        <w:ind w:firstLine="720"/>
        <w:jc w:val="both"/>
        <w:rPr>
          <w:rFonts w:ascii="Times New Roman" w:eastAsia="Times New Roman" w:hAnsi="Times New Roman" w:cs="Times New Roman"/>
          <w:shd w:val="clear" w:color="auto" w:fill="FCFCFC"/>
        </w:rPr>
      </w:pPr>
      <w:sdt>
        <w:sdtPr>
          <w:tag w:val="goog_rdk_22"/>
          <w:id w:val="1970655878"/>
        </w:sdtPr>
        <w:sdtEndPr/>
        <w:sdtContent>
          <w:r>
            <w:rPr>
              <w:rFonts w:ascii="Cardo" w:eastAsia="Cardo" w:hAnsi="Cardo" w:cs="Cardo"/>
              <w:shd w:val="clear" w:color="auto" w:fill="FCFCFC"/>
            </w:rPr>
            <w:t>In our framework consumers and employees are micro because although they can act together to become group actors, they often o</w:t>
          </w:r>
          <w:r>
            <w:rPr>
              <w:rFonts w:ascii="Cardo" w:eastAsia="Cardo" w:hAnsi="Cardo" w:cs="Cardo"/>
              <w:shd w:val="clear" w:color="auto" w:fill="FCFCFC"/>
            </w:rPr>
            <w:t>perate as individuals and have individual motivations even if at times these motivations align. However, using their purchasing power, protest rights, and even work product, consumers and employees can be catalysts for sustainability-oriented change in the</w:t>
          </w:r>
          <w:r>
            <w:rPr>
              <w:rFonts w:ascii="Cardo" w:eastAsia="Cardo" w:hAnsi="Cardo" w:cs="Cardo"/>
              <w:shd w:val="clear" w:color="auto" w:fill="FCFCFC"/>
            </w:rPr>
            <w:t xml:space="preserve"> retailing space. Therefore, it’s important to analyze how consumers as micro actors can influence macro actors such as big box retailers (</w:t>
          </w:r>
          <w:proofErr w:type="spellStart"/>
          <w:r>
            <w:rPr>
              <w:rFonts w:ascii="Cardo" w:eastAsia="Cardo" w:hAnsi="Cardo" w:cs="Cardo"/>
              <w:shd w:val="clear" w:color="auto" w:fill="FCFCFC"/>
            </w:rPr>
            <w:t>Lavorata</w:t>
          </w:r>
          <w:proofErr w:type="spellEnd"/>
          <w:r>
            <w:rPr>
              <w:rFonts w:ascii="Cardo" w:eastAsia="Cardo" w:hAnsi="Cardo" w:cs="Cardo"/>
              <w:shd w:val="clear" w:color="auto" w:fill="FCFCFC"/>
            </w:rPr>
            <w:t xml:space="preserve"> 2014). This </w:t>
          </w:r>
          <w:proofErr w:type="spellStart"/>
          <w:r>
            <w:rPr>
              <w:rFonts w:ascii="Cardo" w:eastAsia="Cardo" w:hAnsi="Cardo" w:cs="Cardo"/>
              <w:shd w:val="clear" w:color="auto" w:fill="FCFCFC"/>
            </w:rPr>
            <w:t>micro→macro</w:t>
          </w:r>
          <w:proofErr w:type="spellEnd"/>
          <w:r>
            <w:rPr>
              <w:rFonts w:ascii="Cardo" w:eastAsia="Cardo" w:hAnsi="Cardo" w:cs="Cardo"/>
              <w:shd w:val="clear" w:color="auto" w:fill="FCFCFC"/>
            </w:rPr>
            <w:t xml:space="preserve"> pathway is a key part of the sustainable-consumption research agenda.</w:t>
          </w:r>
        </w:sdtContent>
      </w:sdt>
    </w:p>
    <w:p w14:paraId="0000017D" w14:textId="77777777" w:rsidR="00AB4CD0" w:rsidRDefault="004C12C0">
      <w:pPr>
        <w:spacing w:before="240" w:line="480" w:lineRule="auto"/>
        <w:rPr>
          <w:rFonts w:ascii="Times New Roman" w:eastAsia="Times New Roman" w:hAnsi="Times New Roman" w:cs="Times New Roman"/>
          <w:i/>
          <w:iCs/>
        </w:rPr>
      </w:pPr>
      <w:r>
        <w:rPr>
          <w:rFonts w:ascii="Times New Roman" w:eastAsia="Times New Roman" w:hAnsi="Times New Roman" w:cs="Times New Roman"/>
          <w:i/>
          <w:iCs/>
        </w:rPr>
        <w:t>5.1. Consume</w:t>
      </w:r>
      <w:r>
        <w:rPr>
          <w:rFonts w:ascii="Times New Roman" w:eastAsia="Times New Roman" w:hAnsi="Times New Roman" w:cs="Times New Roman"/>
          <w:i/>
          <w:iCs/>
        </w:rPr>
        <w:t>r Activism and Public Pressure</w:t>
      </w:r>
    </w:p>
    <w:p w14:paraId="0000017E" w14:textId="77777777" w:rsidR="00AB4CD0" w:rsidRDefault="004C12C0">
      <w:pPr>
        <w:spacing w:line="480" w:lineRule="auto"/>
        <w:ind w:firstLine="720"/>
        <w:jc w:val="both"/>
        <w:rPr>
          <w:rFonts w:ascii="Times New Roman" w:eastAsia="Times New Roman" w:hAnsi="Times New Roman" w:cs="Times New Roman"/>
          <w:shd w:val="clear" w:color="auto" w:fill="FCFCFC"/>
        </w:rPr>
      </w:pPr>
      <w:sdt>
        <w:sdtPr>
          <w:tag w:val="goog_rdk_23"/>
          <w:id w:val="-456791143"/>
        </w:sdtPr>
        <w:sdtEndPr/>
        <w:sdtContent>
          <w:r>
            <w:rPr>
              <w:rFonts w:ascii="Cardo" w:eastAsia="Cardo" w:hAnsi="Cardo" w:cs="Cardo"/>
              <w:shd w:val="clear" w:color="auto" w:fill="FCFCFC"/>
            </w:rPr>
            <w:t xml:space="preserve">Consumers are an important but understudied causal actor in the </w:t>
          </w:r>
          <w:proofErr w:type="spellStart"/>
          <w:r>
            <w:rPr>
              <w:rFonts w:ascii="Cardo" w:eastAsia="Cardo" w:hAnsi="Cardo" w:cs="Cardo"/>
              <w:shd w:val="clear" w:color="auto" w:fill="FCFCFC"/>
            </w:rPr>
            <w:t>micro→macro</w:t>
          </w:r>
          <w:proofErr w:type="spellEnd"/>
          <w:r>
            <w:rPr>
              <w:rFonts w:ascii="Cardo" w:eastAsia="Cardo" w:hAnsi="Cardo" w:cs="Cardo"/>
              <w:shd w:val="clear" w:color="auto" w:fill="FCFCFC"/>
            </w:rPr>
            <w:t xml:space="preserve"> context. While marketing scholarship in retailing focuses </w:t>
          </w:r>
          <w:proofErr w:type="gramStart"/>
          <w:r>
            <w:rPr>
              <w:rFonts w:ascii="Cardo" w:eastAsia="Cardo" w:hAnsi="Cardo" w:cs="Cardo"/>
              <w:shd w:val="clear" w:color="auto" w:fill="FCFCFC"/>
            </w:rPr>
            <w:t>on  understanding</w:t>
          </w:r>
          <w:proofErr w:type="gramEnd"/>
          <w:r>
            <w:rPr>
              <w:rFonts w:ascii="Cardo" w:eastAsia="Cardo" w:hAnsi="Cardo" w:cs="Cardo"/>
              <w:shd w:val="clear" w:color="auto" w:fill="FCFCFC"/>
            </w:rPr>
            <w:t xml:space="preserve"> consumer preferences related to products, less attention has been devoted</w:t>
          </w:r>
          <w:r>
            <w:rPr>
              <w:rFonts w:ascii="Cardo" w:eastAsia="Cardo" w:hAnsi="Cardo" w:cs="Cardo"/>
              <w:shd w:val="clear" w:color="auto" w:fill="FCFCFC"/>
            </w:rPr>
            <w:t xml:space="preserve"> to how consumers can substantially affect the companies they patronize.</w:t>
          </w:r>
        </w:sdtContent>
      </w:sdt>
    </w:p>
    <w:p w14:paraId="0000017F"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shd w:val="clear" w:color="auto" w:fill="FCFCFC"/>
        </w:rPr>
        <w:t>Some companies have picked up on changes in consumer demand as part of their market research efforts and started to position themselves accordingly by announcing various sustainabil</w:t>
      </w:r>
      <w:r>
        <w:rPr>
          <w:rFonts w:ascii="Times New Roman" w:eastAsia="Times New Roman" w:hAnsi="Times New Roman" w:cs="Times New Roman"/>
          <w:shd w:val="clear" w:color="auto" w:fill="FCFCFC"/>
        </w:rPr>
        <w:t xml:space="preserve">ity initiatives, integrating eco-friendly practices throughout their operations, and setting </w:t>
      </w:r>
      <w:r>
        <w:rPr>
          <w:rFonts w:ascii="Times New Roman" w:eastAsia="Times New Roman" w:hAnsi="Times New Roman" w:cs="Times New Roman"/>
        </w:rPr>
        <w:t>ambitious sustainability targets</w:t>
      </w:r>
      <w:r>
        <w:rPr>
          <w:rFonts w:ascii="Times New Roman" w:eastAsia="Times New Roman" w:hAnsi="Times New Roman" w:cs="Times New Roman"/>
          <w:shd w:val="clear" w:color="auto" w:fill="FCFCFC"/>
        </w:rPr>
        <w:t xml:space="preserve">. For example, </w:t>
      </w:r>
      <w:r>
        <w:rPr>
          <w:rFonts w:ascii="Times New Roman" w:eastAsia="Times New Roman" w:hAnsi="Times New Roman" w:cs="Times New Roman"/>
        </w:rPr>
        <w:t xml:space="preserve">eBay launched its Certified Refurbished program, after research showed that 80% of Americans were open to receiving </w:t>
      </w:r>
      <w:r>
        <w:rPr>
          <w:rFonts w:ascii="Times New Roman" w:eastAsia="Times New Roman" w:hAnsi="Times New Roman" w:cs="Times New Roman"/>
        </w:rPr>
        <w:t xml:space="preserve">a refurbished electronic gift </w:t>
      </w:r>
      <w:r>
        <w:rPr>
          <w:rFonts w:ascii="Times New Roman" w:eastAsia="Times New Roman" w:hAnsi="Times New Roman" w:cs="Times New Roman"/>
        </w:rPr>
        <w:lastRenderedPageBreak/>
        <w:t>that season (eBay</w:t>
      </w:r>
      <w:hyperlink r:id="rId42">
        <w:r>
          <w:rPr>
            <w:rFonts w:ascii="Times New Roman" w:eastAsia="Times New Roman" w:hAnsi="Times New Roman" w:cs="Times New Roman"/>
          </w:rPr>
          <w:t xml:space="preserve"> </w:t>
        </w:r>
      </w:hyperlink>
      <w:r>
        <w:rPr>
          <w:rFonts w:ascii="Times New Roman" w:eastAsia="Times New Roman" w:hAnsi="Times New Roman" w:cs="Times New Roman"/>
        </w:rPr>
        <w:t>2020). The platform provided a dedicated online</w:t>
      </w:r>
      <w:r>
        <w:rPr>
          <w:rFonts w:ascii="Times New Roman" w:eastAsia="Times New Roman" w:hAnsi="Times New Roman" w:cs="Times New Roman"/>
        </w:rPr>
        <w:t xml:space="preserve"> storefront, standardized grading, new warranties, and inventory directly vetted from manufacturers, compelling merchants to participate in the program and offer refurbished options. Zomato, an online food ordering and delivery service, surveyed thousands </w:t>
      </w:r>
      <w:r>
        <w:rPr>
          <w:rFonts w:ascii="Times New Roman" w:eastAsia="Times New Roman" w:hAnsi="Times New Roman" w:cs="Times New Roman"/>
        </w:rPr>
        <w:t>of its users and changed its app’s default setting from “opt-out” to “opt-in” for cutlery, tissues, and straws, reducing single-use plastic waste (Goyal 2021). While these case examples are promising, it can be challenging to discern if a macro actor's sus</w:t>
      </w:r>
      <w:r>
        <w:rPr>
          <w:rFonts w:ascii="Times New Roman" w:eastAsia="Times New Roman" w:hAnsi="Times New Roman" w:cs="Times New Roman"/>
        </w:rPr>
        <w:t>tainability initiative is a genuine response to consumer activism or a green marketing tactic designed to gain a competitive advantage and attract environmentally conscious customers. Some measures may constitute “greenwashing,” where eco-friendliness is m</w:t>
      </w:r>
      <w:r>
        <w:rPr>
          <w:rFonts w:ascii="Times New Roman" w:eastAsia="Times New Roman" w:hAnsi="Times New Roman" w:cs="Times New Roman"/>
        </w:rPr>
        <w:t>ore about image management than actual environmental impact (Peattie &amp; Crane 2005).</w:t>
      </w:r>
    </w:p>
    <w:p w14:paraId="00000180"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Consumer activism is sometimes coordinated by macro-level actors such as consumer advocacy and nonprofit organizations, providing platforms that centralize actions like pet</w:t>
      </w:r>
      <w:r>
        <w:rPr>
          <w:rFonts w:ascii="Times New Roman" w:eastAsia="Times New Roman" w:hAnsi="Times New Roman" w:cs="Times New Roman"/>
        </w:rPr>
        <w:t>ition drives or letter-writing campaigns to CEOs. For instance, in June 2023, an advocacy group (PIRG) delivered over 138,000 petition signatures urging Amazon to cut plastic waste. In response, Amazon announced commitments to reduce single-use plastic pac</w:t>
      </w:r>
      <w:r>
        <w:rPr>
          <w:rFonts w:ascii="Times New Roman" w:eastAsia="Times New Roman" w:hAnsi="Times New Roman" w:cs="Times New Roman"/>
        </w:rPr>
        <w:t>kaging and developing more recyclable alternatives, demonstrating how customer pressure can drive a major retail platform to adopt more sustainable packaging practices (Rosenblatt 2024).</w:t>
      </w:r>
    </w:p>
    <w:p w14:paraId="00000181" w14:textId="77777777" w:rsidR="00AB4CD0" w:rsidRDefault="004C12C0">
      <w:pPr>
        <w:spacing w:before="120" w:line="480" w:lineRule="auto"/>
        <w:rPr>
          <w:rFonts w:ascii="Times New Roman" w:eastAsia="Times New Roman" w:hAnsi="Times New Roman" w:cs="Times New Roman"/>
          <w:i/>
          <w:iCs/>
          <w:shd w:val="clear" w:color="auto" w:fill="FCFCFC"/>
        </w:rPr>
      </w:pPr>
      <w:r>
        <w:rPr>
          <w:rFonts w:ascii="Times New Roman" w:eastAsia="Times New Roman" w:hAnsi="Times New Roman" w:cs="Times New Roman"/>
          <w:i/>
          <w:iCs/>
          <w:shd w:val="clear" w:color="auto" w:fill="FCFCFC"/>
        </w:rPr>
        <w:t xml:space="preserve">5.2. Boycotts &amp; </w:t>
      </w:r>
      <w:proofErr w:type="spellStart"/>
      <w:r>
        <w:rPr>
          <w:rFonts w:ascii="Times New Roman" w:eastAsia="Times New Roman" w:hAnsi="Times New Roman" w:cs="Times New Roman"/>
          <w:i/>
          <w:iCs/>
          <w:shd w:val="clear" w:color="auto" w:fill="FCFCFC"/>
        </w:rPr>
        <w:t>Buycotts</w:t>
      </w:r>
      <w:proofErr w:type="spellEnd"/>
    </w:p>
    <w:p w14:paraId="00000182" w14:textId="77777777" w:rsidR="00AB4CD0" w:rsidRDefault="004C12C0">
      <w:pPr>
        <w:spacing w:line="480" w:lineRule="auto"/>
        <w:ind w:firstLine="720"/>
        <w:jc w:val="both"/>
        <w:rPr>
          <w:rFonts w:ascii="Times New Roman" w:eastAsia="Times New Roman" w:hAnsi="Times New Roman" w:cs="Times New Roman"/>
          <w:shd w:val="clear" w:color="auto" w:fill="FCFCFC"/>
        </w:rPr>
      </w:pPr>
      <w:r>
        <w:rPr>
          <w:rFonts w:ascii="Times New Roman" w:eastAsia="Times New Roman" w:hAnsi="Times New Roman" w:cs="Times New Roman"/>
          <w:color w:val="000000"/>
          <w:shd w:val="clear" w:color="auto" w:fill="FCFCFC"/>
        </w:rPr>
        <w:t xml:space="preserve">Consumers can collectively or individually abstain from purchasing goods from a company to protest its excessive environmental footprint. Most </w:t>
      </w:r>
      <w:r>
        <w:rPr>
          <w:rFonts w:ascii="Times New Roman" w:eastAsia="Times New Roman" w:hAnsi="Times New Roman" w:cs="Times New Roman"/>
          <w:shd w:val="clear" w:color="auto" w:fill="FCFCFC"/>
        </w:rPr>
        <w:t>research</w:t>
      </w:r>
      <w:r>
        <w:rPr>
          <w:rFonts w:ascii="Times New Roman" w:eastAsia="Times New Roman" w:hAnsi="Times New Roman" w:cs="Times New Roman"/>
          <w:color w:val="000000"/>
          <w:shd w:val="clear" w:color="auto" w:fill="FCFCFC"/>
        </w:rPr>
        <w:t xml:space="preserve"> in th</w:t>
      </w:r>
      <w:r>
        <w:rPr>
          <w:rFonts w:ascii="Times New Roman" w:eastAsia="Times New Roman" w:hAnsi="Times New Roman" w:cs="Times New Roman"/>
          <w:shd w:val="clear" w:color="auto" w:fill="FCFCFC"/>
        </w:rPr>
        <w:t>is</w:t>
      </w:r>
      <w:r>
        <w:rPr>
          <w:rFonts w:ascii="Times New Roman" w:eastAsia="Times New Roman" w:hAnsi="Times New Roman" w:cs="Times New Roman"/>
          <w:color w:val="000000"/>
          <w:shd w:val="clear" w:color="auto" w:fill="FCFCFC"/>
        </w:rPr>
        <w:t xml:space="preserve"> space has focused on the motivations spurring boycotts and under what conditions boycotts can ga</w:t>
      </w:r>
      <w:r>
        <w:rPr>
          <w:rFonts w:ascii="Times New Roman" w:eastAsia="Times New Roman" w:hAnsi="Times New Roman" w:cs="Times New Roman"/>
          <w:color w:val="000000"/>
          <w:shd w:val="clear" w:color="auto" w:fill="FCFCFC"/>
        </w:rPr>
        <w:t xml:space="preserve">rner sufficient consumer support (Endres </w:t>
      </w:r>
      <w:r>
        <w:rPr>
          <w:rFonts w:ascii="Times New Roman" w:eastAsia="Times New Roman" w:hAnsi="Times New Roman" w:cs="Times New Roman"/>
          <w:color w:val="000000"/>
        </w:rPr>
        <w:t>&amp; Panagopoulos</w:t>
      </w:r>
      <w:r>
        <w:rPr>
          <w:rFonts w:ascii="Times New Roman" w:eastAsia="Times New Roman" w:hAnsi="Times New Roman" w:cs="Times New Roman"/>
          <w:color w:val="000000"/>
          <w:shd w:val="clear" w:color="auto" w:fill="FCFCFC"/>
        </w:rPr>
        <w:t xml:space="preserve"> 2017; Klein et al. 2004; Sen et al. 2001)</w:t>
      </w:r>
      <w:r>
        <w:rPr>
          <w:rFonts w:ascii="Times New Roman" w:eastAsia="Times New Roman" w:hAnsi="Times New Roman" w:cs="Times New Roman"/>
          <w:shd w:val="clear" w:color="auto" w:fill="FCFCFC"/>
        </w:rPr>
        <w:t xml:space="preserve">. Results show that </w:t>
      </w:r>
      <w:r>
        <w:rPr>
          <w:rFonts w:ascii="Times New Roman" w:eastAsia="Times New Roman" w:hAnsi="Times New Roman" w:cs="Times New Roman"/>
          <w:shd w:val="clear" w:color="auto" w:fill="FCFCFC"/>
        </w:rPr>
        <w:lastRenderedPageBreak/>
        <w:t xml:space="preserve">participation depends on perceived boycott success, how many others will participate, individual costs, and the relevance to participants’ </w:t>
      </w:r>
      <w:r>
        <w:rPr>
          <w:rFonts w:ascii="Times New Roman" w:eastAsia="Times New Roman" w:hAnsi="Times New Roman" w:cs="Times New Roman"/>
          <w:shd w:val="clear" w:color="auto" w:fill="FCFCFC"/>
        </w:rPr>
        <w:t xml:space="preserve">social identity, among other factors. </w:t>
      </w:r>
    </w:p>
    <w:p w14:paraId="00000183" w14:textId="77777777" w:rsidR="00AB4CD0" w:rsidRDefault="004C12C0">
      <w:pPr>
        <w:spacing w:line="480" w:lineRule="auto"/>
        <w:ind w:firstLine="720"/>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Efforts have been made to measure whether consumer boycotts can actually affect how companies operate their business. Some research demonstrates that boycotts can have a financial impact on companies by lowering cumul</w:t>
      </w:r>
      <w:r>
        <w:rPr>
          <w:rFonts w:ascii="Times New Roman" w:eastAsia="Times New Roman" w:hAnsi="Times New Roman" w:cs="Times New Roman"/>
          <w:shd w:val="clear" w:color="auto" w:fill="FCFCFC"/>
        </w:rPr>
        <w:t xml:space="preserve">ative returns for shareholders (Tomlin 2019). Other studies show that boycotts organized through the internet likely do not have financial effects on their corporate targets (Koku 2012). </w:t>
      </w:r>
    </w:p>
    <w:p w14:paraId="00000184" w14:textId="77777777" w:rsidR="00AB4CD0" w:rsidRDefault="004C12C0">
      <w:pPr>
        <w:spacing w:line="480" w:lineRule="auto"/>
        <w:ind w:firstLine="720"/>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Alternately, consumers can engage in active </w:t>
      </w:r>
      <w:r>
        <w:rPr>
          <w:rFonts w:ascii="Times New Roman" w:eastAsia="Times New Roman" w:hAnsi="Times New Roman" w:cs="Times New Roman"/>
          <w:i/>
          <w:iCs/>
          <w:shd w:val="clear" w:color="auto" w:fill="FCFCFC"/>
        </w:rPr>
        <w:t xml:space="preserve">buying </w:t>
      </w:r>
      <w:r>
        <w:rPr>
          <w:rFonts w:ascii="Times New Roman" w:eastAsia="Times New Roman" w:hAnsi="Times New Roman" w:cs="Times New Roman"/>
          <w:shd w:val="clear" w:color="auto" w:fill="FCFCFC"/>
        </w:rPr>
        <w:t>of products to re</w:t>
      </w:r>
      <w:r>
        <w:rPr>
          <w:rFonts w:ascii="Times New Roman" w:eastAsia="Times New Roman" w:hAnsi="Times New Roman" w:cs="Times New Roman"/>
          <w:shd w:val="clear" w:color="auto" w:fill="FCFCFC"/>
        </w:rPr>
        <w:t>ward companies for pro-sustainable actions. These so-called “</w:t>
      </w:r>
      <w:proofErr w:type="spellStart"/>
      <w:r>
        <w:rPr>
          <w:rFonts w:ascii="Times New Roman" w:eastAsia="Times New Roman" w:hAnsi="Times New Roman" w:cs="Times New Roman"/>
          <w:shd w:val="clear" w:color="auto" w:fill="FCFCFC"/>
        </w:rPr>
        <w:t>buycotts</w:t>
      </w:r>
      <w:proofErr w:type="spellEnd"/>
      <w:r>
        <w:rPr>
          <w:rFonts w:ascii="Times New Roman" w:eastAsia="Times New Roman" w:hAnsi="Times New Roman" w:cs="Times New Roman"/>
          <w:shd w:val="clear" w:color="auto" w:fill="FCFCFC"/>
        </w:rPr>
        <w:t xml:space="preserve">” are understudied in the literature (Friedman 1996; Hoffmann &amp; </w:t>
      </w:r>
      <w:proofErr w:type="spellStart"/>
      <w:r>
        <w:rPr>
          <w:rFonts w:ascii="Times New Roman" w:eastAsia="Times New Roman" w:hAnsi="Times New Roman" w:cs="Times New Roman"/>
          <w:shd w:val="clear" w:color="auto" w:fill="FCFCFC"/>
        </w:rPr>
        <w:t>Hutter</w:t>
      </w:r>
      <w:proofErr w:type="spellEnd"/>
      <w:r>
        <w:rPr>
          <w:rFonts w:ascii="Times New Roman" w:eastAsia="Times New Roman" w:hAnsi="Times New Roman" w:cs="Times New Roman"/>
          <w:shd w:val="clear" w:color="auto" w:fill="FCFCFC"/>
        </w:rPr>
        <w:t xml:space="preserve"> 2012) and present a ripe area of investigation.</w:t>
      </w:r>
    </w:p>
    <w:p w14:paraId="00000185" w14:textId="77777777" w:rsidR="00AB4CD0" w:rsidRDefault="004C12C0">
      <w:pPr>
        <w:spacing w:line="480" w:lineRule="auto"/>
        <w:ind w:firstLine="720"/>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More recently, “</w:t>
      </w:r>
      <w:proofErr w:type="spellStart"/>
      <w:r>
        <w:rPr>
          <w:rFonts w:ascii="Times New Roman" w:eastAsia="Times New Roman" w:hAnsi="Times New Roman" w:cs="Times New Roman"/>
          <w:shd w:val="clear" w:color="auto" w:fill="FCFCFC"/>
        </w:rPr>
        <w:t>carrotmobs</w:t>
      </w:r>
      <w:proofErr w:type="spellEnd"/>
      <w:r>
        <w:rPr>
          <w:rFonts w:ascii="Times New Roman" w:eastAsia="Times New Roman" w:hAnsi="Times New Roman" w:cs="Times New Roman"/>
          <w:shd w:val="clear" w:color="auto" w:fill="FCFCFC"/>
          <w:vertAlign w:val="superscript"/>
        </w:rPr>
        <w:footnoteReference w:id="13"/>
      </w:r>
      <w:r>
        <w:rPr>
          <w:rFonts w:ascii="Times New Roman" w:eastAsia="Times New Roman" w:hAnsi="Times New Roman" w:cs="Times New Roman"/>
          <w:shd w:val="clear" w:color="auto" w:fill="FCFCFC"/>
        </w:rPr>
        <w:t xml:space="preserve">” evolved as a new subtype of </w:t>
      </w:r>
      <w:proofErr w:type="spellStart"/>
      <w:r>
        <w:rPr>
          <w:rFonts w:ascii="Times New Roman" w:eastAsia="Times New Roman" w:hAnsi="Times New Roman" w:cs="Times New Roman"/>
          <w:shd w:val="clear" w:color="auto" w:fill="FCFCFC"/>
        </w:rPr>
        <w:t>buycotts</w:t>
      </w:r>
      <w:proofErr w:type="spellEnd"/>
      <w:r>
        <w:rPr>
          <w:rFonts w:ascii="Times New Roman" w:eastAsia="Times New Roman" w:hAnsi="Times New Roman" w:cs="Times New Roman"/>
          <w:shd w:val="clear" w:color="auto" w:fill="FCFCFC"/>
        </w:rPr>
        <w:t xml:space="preserve"> (H</w:t>
      </w:r>
      <w:r>
        <w:rPr>
          <w:rFonts w:ascii="Times New Roman" w:eastAsia="Times New Roman" w:hAnsi="Times New Roman" w:cs="Times New Roman"/>
          <w:shd w:val="clear" w:color="auto" w:fill="FCFCFC"/>
        </w:rPr>
        <w:t xml:space="preserve">offmann &amp; </w:t>
      </w:r>
      <w:proofErr w:type="spellStart"/>
      <w:r>
        <w:rPr>
          <w:rFonts w:ascii="Times New Roman" w:eastAsia="Times New Roman" w:hAnsi="Times New Roman" w:cs="Times New Roman"/>
          <w:shd w:val="clear" w:color="auto" w:fill="FCFCFC"/>
        </w:rPr>
        <w:t>Hutter</w:t>
      </w:r>
      <w:proofErr w:type="spellEnd"/>
      <w:r>
        <w:rPr>
          <w:rFonts w:ascii="Times New Roman" w:eastAsia="Times New Roman" w:hAnsi="Times New Roman" w:cs="Times New Roman"/>
          <w:shd w:val="clear" w:color="auto" w:fill="FCFCFC"/>
        </w:rPr>
        <w:t xml:space="preserve"> 2012). A </w:t>
      </w:r>
      <w:proofErr w:type="spellStart"/>
      <w:r>
        <w:rPr>
          <w:rFonts w:ascii="Times New Roman" w:eastAsia="Times New Roman" w:hAnsi="Times New Roman" w:cs="Times New Roman"/>
          <w:shd w:val="clear" w:color="auto" w:fill="FCFCFC"/>
        </w:rPr>
        <w:t>carrotmob</w:t>
      </w:r>
      <w:proofErr w:type="spellEnd"/>
      <w:r>
        <w:rPr>
          <w:rFonts w:ascii="Times New Roman" w:eastAsia="Times New Roman" w:hAnsi="Times New Roman" w:cs="Times New Roman"/>
          <w:shd w:val="clear" w:color="auto" w:fill="FCFCFC"/>
        </w:rPr>
        <w:t xml:space="preserve"> is a collective </w:t>
      </w:r>
      <w:proofErr w:type="spellStart"/>
      <w:r>
        <w:rPr>
          <w:rFonts w:ascii="Times New Roman" w:eastAsia="Times New Roman" w:hAnsi="Times New Roman" w:cs="Times New Roman"/>
          <w:shd w:val="clear" w:color="auto" w:fill="FCFCFC"/>
        </w:rPr>
        <w:t>buycott</w:t>
      </w:r>
      <w:proofErr w:type="spellEnd"/>
      <w:r>
        <w:rPr>
          <w:rFonts w:ascii="Times New Roman" w:eastAsia="Times New Roman" w:hAnsi="Times New Roman" w:cs="Times New Roman"/>
          <w:shd w:val="clear" w:color="auto" w:fill="FCFCFC"/>
        </w:rPr>
        <w:t xml:space="preserve"> in which consumers gather at a chosen store at a set time to purchase its products and reward the company in exchange for agreed-upon eco-friendly improvements, such as investing extra revenue in </w:t>
      </w:r>
      <w:r>
        <w:rPr>
          <w:rFonts w:ascii="Times New Roman" w:eastAsia="Times New Roman" w:hAnsi="Times New Roman" w:cs="Times New Roman"/>
          <w:shd w:val="clear" w:color="auto" w:fill="FCFCFC"/>
        </w:rPr>
        <w:t xml:space="preserve">energy-saving upgrades. This may benefit the target company more directly. Scaling up </w:t>
      </w:r>
      <w:proofErr w:type="spellStart"/>
      <w:r>
        <w:rPr>
          <w:rFonts w:ascii="Times New Roman" w:eastAsia="Times New Roman" w:hAnsi="Times New Roman" w:cs="Times New Roman"/>
          <w:shd w:val="clear" w:color="auto" w:fill="FCFCFC"/>
        </w:rPr>
        <w:t>carrotmobs</w:t>
      </w:r>
      <w:proofErr w:type="spellEnd"/>
      <w:r>
        <w:rPr>
          <w:rFonts w:ascii="Times New Roman" w:eastAsia="Times New Roman" w:hAnsi="Times New Roman" w:cs="Times New Roman"/>
          <w:shd w:val="clear" w:color="auto" w:fill="FCFCFC"/>
        </w:rPr>
        <w:t xml:space="preserve"> is much more difficult though</w:t>
      </w:r>
      <w:r>
        <w:rPr>
          <w:rFonts w:ascii="Times New Roman" w:eastAsia="Times New Roman" w:hAnsi="Times New Roman" w:cs="Times New Roman"/>
          <w:shd w:val="clear" w:color="auto" w:fill="FCFCFC"/>
          <w:vertAlign w:val="superscript"/>
        </w:rPr>
        <w:footnoteReference w:id="14"/>
      </w:r>
      <w:r>
        <w:rPr>
          <w:rFonts w:ascii="Times New Roman" w:eastAsia="Times New Roman" w:hAnsi="Times New Roman" w:cs="Times New Roman"/>
          <w:shd w:val="clear" w:color="auto" w:fill="FCFCFC"/>
        </w:rPr>
        <w:t xml:space="preserve">. </w:t>
      </w:r>
    </w:p>
    <w:p w14:paraId="00000186" w14:textId="77777777" w:rsidR="00AB4CD0" w:rsidRDefault="004C12C0">
      <w:pPr>
        <w:spacing w:line="480" w:lineRule="auto"/>
        <w:ind w:firstLine="720"/>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Data on the relative magnitude of boycotts versus </w:t>
      </w:r>
      <w:proofErr w:type="spellStart"/>
      <w:r>
        <w:rPr>
          <w:rFonts w:ascii="Times New Roman" w:eastAsia="Times New Roman" w:hAnsi="Times New Roman" w:cs="Times New Roman"/>
          <w:shd w:val="clear" w:color="auto" w:fill="FCFCFC"/>
        </w:rPr>
        <w:t>buycotts</w:t>
      </w:r>
      <w:proofErr w:type="spellEnd"/>
      <w:r>
        <w:rPr>
          <w:rFonts w:ascii="Times New Roman" w:eastAsia="Times New Roman" w:hAnsi="Times New Roman" w:cs="Times New Roman"/>
          <w:shd w:val="clear" w:color="auto" w:fill="FCFCFC"/>
        </w:rPr>
        <w:t xml:space="preserve"> is scarce. </w:t>
      </w:r>
      <w:proofErr w:type="spellStart"/>
      <w:r>
        <w:rPr>
          <w:rFonts w:ascii="Times New Roman" w:eastAsia="Times New Roman" w:hAnsi="Times New Roman" w:cs="Times New Roman"/>
          <w:shd w:val="clear" w:color="auto" w:fill="FCFCFC"/>
        </w:rPr>
        <w:t>Liaukonytė</w:t>
      </w:r>
      <w:proofErr w:type="spellEnd"/>
      <w:r>
        <w:rPr>
          <w:rFonts w:ascii="Times New Roman" w:eastAsia="Times New Roman" w:hAnsi="Times New Roman" w:cs="Times New Roman"/>
          <w:shd w:val="clear" w:color="auto" w:fill="FCFCFC"/>
        </w:rPr>
        <w:t>, Tuchman, and Zhu (2023) analyzed consumer‐le</w:t>
      </w:r>
      <w:r>
        <w:rPr>
          <w:rFonts w:ascii="Times New Roman" w:eastAsia="Times New Roman" w:hAnsi="Times New Roman" w:cs="Times New Roman"/>
          <w:shd w:val="clear" w:color="auto" w:fill="FCFCFC"/>
        </w:rPr>
        <w:t>vel purchase data for Goya products to assess the net effect of concurrent boycott and counter‐</w:t>
      </w:r>
      <w:proofErr w:type="spellStart"/>
      <w:r>
        <w:rPr>
          <w:rFonts w:ascii="Times New Roman" w:eastAsia="Times New Roman" w:hAnsi="Times New Roman" w:cs="Times New Roman"/>
          <w:shd w:val="clear" w:color="auto" w:fill="FCFCFC"/>
        </w:rPr>
        <w:t>buycott</w:t>
      </w:r>
      <w:proofErr w:type="spellEnd"/>
      <w:r>
        <w:rPr>
          <w:rFonts w:ascii="Times New Roman" w:eastAsia="Times New Roman" w:hAnsi="Times New Roman" w:cs="Times New Roman"/>
          <w:shd w:val="clear" w:color="auto" w:fill="FCFCFC"/>
        </w:rPr>
        <w:t xml:space="preserve"> as part of political movements. Although social and news media coverage was dominated by boycott posts, sales rose by 22%.</w:t>
      </w:r>
    </w:p>
    <w:p w14:paraId="00000187" w14:textId="77777777" w:rsidR="00AB4CD0" w:rsidRDefault="004C12C0">
      <w:pPr>
        <w:spacing w:before="120" w:line="480" w:lineRule="auto"/>
        <w:rPr>
          <w:rFonts w:ascii="Times New Roman" w:eastAsia="Times New Roman" w:hAnsi="Times New Roman" w:cs="Times New Roman"/>
          <w:i/>
          <w:iCs/>
          <w:shd w:val="clear" w:color="auto" w:fill="FCFCFC"/>
        </w:rPr>
      </w:pPr>
      <w:r>
        <w:rPr>
          <w:rFonts w:ascii="Times New Roman" w:eastAsia="Times New Roman" w:hAnsi="Times New Roman" w:cs="Times New Roman"/>
          <w:i/>
          <w:iCs/>
          <w:shd w:val="clear" w:color="auto" w:fill="FCFCFC"/>
        </w:rPr>
        <w:t>5.3. Protests</w:t>
      </w:r>
    </w:p>
    <w:p w14:paraId="00000188" w14:textId="77777777" w:rsidR="00AB4CD0" w:rsidRDefault="004C12C0">
      <w:pPr>
        <w:spacing w:line="480" w:lineRule="auto"/>
        <w:ind w:firstLine="720"/>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lastRenderedPageBreak/>
        <w:t>Whereas consumer</w:t>
      </w:r>
      <w:r>
        <w:rPr>
          <w:rFonts w:ascii="Times New Roman" w:eastAsia="Times New Roman" w:hAnsi="Times New Roman" w:cs="Times New Roman"/>
          <w:shd w:val="clear" w:color="auto" w:fill="FCFCFC"/>
        </w:rPr>
        <w:t xml:space="preserve">s can use their market power to persuade companies and retailers, government policies are not necessarily susceptible to economic persuasion. Instead, citizens engage in widespread environmental protests to try to change a government’s policy at the macro </w:t>
      </w:r>
      <w:r>
        <w:rPr>
          <w:rFonts w:ascii="Times New Roman" w:eastAsia="Times New Roman" w:hAnsi="Times New Roman" w:cs="Times New Roman"/>
          <w:shd w:val="clear" w:color="auto" w:fill="FCFCFC"/>
        </w:rPr>
        <w:t xml:space="preserve">level. </w:t>
      </w:r>
      <w:r>
        <w:rPr>
          <w:rFonts w:ascii="Times New Roman" w:eastAsia="Times New Roman" w:hAnsi="Times New Roman" w:cs="Times New Roman"/>
        </w:rPr>
        <w:t xml:space="preserve">Determining the effectiveness of protests on macro targets’ change and environmental impact is difficult (Buhl et al. 2016; </w:t>
      </w:r>
      <w:proofErr w:type="spellStart"/>
      <w:r>
        <w:rPr>
          <w:rFonts w:ascii="Times New Roman" w:eastAsia="Times New Roman" w:hAnsi="Times New Roman" w:cs="Times New Roman"/>
        </w:rPr>
        <w:t>Yuriev</w:t>
      </w:r>
      <w:proofErr w:type="spellEnd"/>
      <w:r>
        <w:rPr>
          <w:rFonts w:ascii="Times New Roman" w:eastAsia="Times New Roman" w:hAnsi="Times New Roman" w:cs="Times New Roman"/>
        </w:rPr>
        <w:t xml:space="preserve"> 2022). </w:t>
      </w:r>
      <w:r>
        <w:rPr>
          <w:rFonts w:ascii="Times New Roman" w:eastAsia="Times New Roman" w:hAnsi="Times New Roman" w:cs="Times New Roman"/>
          <w:shd w:val="clear" w:color="auto" w:fill="FCFCFC"/>
        </w:rPr>
        <w:t>Some scholars have studied the effect of protests on the general sentiment of pro-sustainable behavior. For exa</w:t>
      </w:r>
      <w:r>
        <w:rPr>
          <w:rFonts w:ascii="Times New Roman" w:eastAsia="Times New Roman" w:hAnsi="Times New Roman" w:cs="Times New Roman"/>
          <w:shd w:val="clear" w:color="auto" w:fill="FCFCFC"/>
        </w:rPr>
        <w:t xml:space="preserve">mple, </w:t>
      </w:r>
      <w:proofErr w:type="spellStart"/>
      <w:r>
        <w:rPr>
          <w:rFonts w:ascii="Times New Roman" w:eastAsia="Times New Roman" w:hAnsi="Times New Roman" w:cs="Times New Roman"/>
        </w:rPr>
        <w:t>Kountouris</w:t>
      </w:r>
      <w:proofErr w:type="spellEnd"/>
      <w:r>
        <w:rPr>
          <w:rFonts w:ascii="Times New Roman" w:eastAsia="Times New Roman" w:hAnsi="Times New Roman" w:cs="Times New Roman"/>
        </w:rPr>
        <w:t xml:space="preserve"> and Williams (2023) found that protesting has positive spillovers that make community members less likely to oppose pro-environmental policies at large. Other scholars have found evidence of tangible effects of environmental protests on po</w:t>
      </w:r>
      <w:r>
        <w:rPr>
          <w:rFonts w:ascii="Times New Roman" w:eastAsia="Times New Roman" w:hAnsi="Times New Roman" w:cs="Times New Roman"/>
        </w:rPr>
        <w:t>licy decisions and state changes in CO</w:t>
      </w:r>
      <w:r>
        <w:rPr>
          <w:rFonts w:ascii="Times New Roman" w:eastAsia="Times New Roman" w:hAnsi="Times New Roman" w:cs="Times New Roman"/>
          <w:vertAlign w:val="subscript"/>
        </w:rPr>
        <w:t xml:space="preserve">2 </w:t>
      </w:r>
      <w:r>
        <w:rPr>
          <w:rFonts w:ascii="Times New Roman" w:eastAsia="Times New Roman" w:hAnsi="Times New Roman" w:cs="Times New Roman"/>
        </w:rPr>
        <w:t xml:space="preserve">(i.e., structural breaks) in some locations (Adedoyin 2020). </w:t>
      </w:r>
      <w:r>
        <w:rPr>
          <w:rFonts w:ascii="Times New Roman" w:eastAsia="Times New Roman" w:hAnsi="Times New Roman" w:cs="Times New Roman"/>
          <w:shd w:val="clear" w:color="auto" w:fill="FCFCFC"/>
        </w:rPr>
        <w:t>However, the emergence of extreme climate protest actions (e.g., gluing oneself to streets, defacing artworks) has raised concerns about protests backfirin</w:t>
      </w:r>
      <w:r>
        <w:rPr>
          <w:rFonts w:ascii="Times New Roman" w:eastAsia="Times New Roman" w:hAnsi="Times New Roman" w:cs="Times New Roman"/>
          <w:shd w:val="clear" w:color="auto" w:fill="FCFCFC"/>
        </w:rPr>
        <w:t xml:space="preserve">g, potentially undermining support for environmental movements (e.g., Feinberg et al. 2020). Additional research is needed on the factors leading to effective vs. ineffective protest actions in this domain. </w:t>
      </w:r>
    </w:p>
    <w:p w14:paraId="00000189" w14:textId="77777777" w:rsidR="00AB4CD0" w:rsidRDefault="004C12C0">
      <w:pPr>
        <w:spacing w:line="480" w:lineRule="auto"/>
        <w:jc w:val="both"/>
        <w:rPr>
          <w:rFonts w:ascii="Times New Roman" w:eastAsia="Times New Roman" w:hAnsi="Times New Roman" w:cs="Times New Roman"/>
          <w:i/>
          <w:iCs/>
          <w:shd w:val="clear" w:color="auto" w:fill="FCFCFC"/>
        </w:rPr>
      </w:pPr>
      <w:r>
        <w:rPr>
          <w:rFonts w:ascii="Times New Roman" w:eastAsia="Times New Roman" w:hAnsi="Times New Roman" w:cs="Times New Roman"/>
          <w:i/>
          <w:iCs/>
          <w:shd w:val="clear" w:color="auto" w:fill="FCFCFC"/>
        </w:rPr>
        <w:t>5.4. Employee-driven interventions</w:t>
      </w:r>
    </w:p>
    <w:p w14:paraId="0000018A"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Company employees and other stakeholders can have an impact on environmental innovation and drive macro change (Buhl et al. 2016; </w:t>
      </w:r>
      <w:proofErr w:type="spellStart"/>
      <w:r>
        <w:rPr>
          <w:rFonts w:ascii="Times New Roman" w:eastAsia="Times New Roman" w:hAnsi="Times New Roman" w:cs="Times New Roman"/>
        </w:rPr>
        <w:t>Yuriev</w:t>
      </w:r>
      <w:proofErr w:type="spellEnd"/>
      <w:r>
        <w:rPr>
          <w:rFonts w:ascii="Times New Roman" w:eastAsia="Times New Roman" w:hAnsi="Times New Roman" w:cs="Times New Roman"/>
        </w:rPr>
        <w:t xml:space="preserve"> et al. 2022). Extant studies document three routes to employee eco-innovation: first order, where employees themselves </w:t>
      </w:r>
      <w:r>
        <w:rPr>
          <w:rFonts w:ascii="Times New Roman" w:eastAsia="Times New Roman" w:hAnsi="Times New Roman" w:cs="Times New Roman"/>
        </w:rPr>
        <w:t>create innovations driven by their own daily tasks; second order, where management seeks to organize first-order innovation; and third order, where management explicitly invites employees to engage in innovation processes (Buhl et al. 2016). Employees with</w:t>
      </w:r>
      <w:r>
        <w:rPr>
          <w:rFonts w:ascii="Times New Roman" w:eastAsia="Times New Roman" w:hAnsi="Times New Roman" w:cs="Times New Roman"/>
        </w:rPr>
        <w:t xml:space="preserve"> consumer experience, tacit knowledge, and a green identity are key constituents to lead eco-innovation from within a company. In addition, employees can act as enforcers of sustainability in retail environments. For example, </w:t>
      </w:r>
      <w:r>
        <w:rPr>
          <w:rFonts w:ascii="Times New Roman" w:eastAsia="Times New Roman" w:hAnsi="Times New Roman" w:cs="Times New Roman"/>
        </w:rPr>
        <w:lastRenderedPageBreak/>
        <w:t>Starbucks employees raised con</w:t>
      </w:r>
      <w:r>
        <w:rPr>
          <w:rFonts w:ascii="Times New Roman" w:eastAsia="Times New Roman" w:hAnsi="Times New Roman" w:cs="Times New Roman"/>
        </w:rPr>
        <w:t>cerns about food waste, which led the company to announce a new program to donate unsold food to charity.</w:t>
      </w:r>
    </w:p>
    <w:p w14:paraId="0000018B" w14:textId="77777777" w:rsidR="00AB4CD0" w:rsidRDefault="004C12C0">
      <w:pPr>
        <w:spacing w:before="120" w:line="480" w:lineRule="auto"/>
        <w:rPr>
          <w:rFonts w:ascii="Times New Roman" w:eastAsia="Times New Roman" w:hAnsi="Times New Roman" w:cs="Times New Roman"/>
          <w:i/>
          <w:iCs/>
        </w:rPr>
      </w:pPr>
      <w:r>
        <w:rPr>
          <w:rFonts w:ascii="Times New Roman" w:eastAsia="Times New Roman" w:hAnsi="Times New Roman" w:cs="Times New Roman"/>
          <w:i/>
          <w:iCs/>
        </w:rPr>
        <w:t>5.5. Feasibility and impact Quadrant III (QIII)</w:t>
      </w:r>
    </w:p>
    <w:p w14:paraId="0000018C"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Most interventions that have been studied in QIII thus far are easy to implement but their environment</w:t>
      </w:r>
      <w:r>
        <w:rPr>
          <w:rFonts w:ascii="Times New Roman" w:eastAsia="Times New Roman" w:hAnsi="Times New Roman" w:cs="Times New Roman"/>
        </w:rPr>
        <w:t>al impacts are modest (high-feasibility, low-impact). For example, sustainability pledges play an important symbolic role by signaling responsiveness to consumer demand, but absent robust monitoring, they often underperform in terms of measurable environme</w:t>
      </w:r>
      <w:r>
        <w:rPr>
          <w:rFonts w:ascii="Times New Roman" w:eastAsia="Times New Roman" w:hAnsi="Times New Roman" w:cs="Times New Roman"/>
        </w:rPr>
        <w:t>ntal outcomes. While Zomato’s cutlery opt-in default has significantly reduced plastic waste—preventing thousands of metric tons from entering landfills—recycling remains a relatively low-impact domain (Ivanova et al. 2020), and broader change will be nece</w:t>
      </w:r>
      <w:r>
        <w:rPr>
          <w:rFonts w:ascii="Times New Roman" w:eastAsia="Times New Roman" w:hAnsi="Times New Roman" w:cs="Times New Roman"/>
        </w:rPr>
        <w:t>ssary. Similarly, employee-driven activism can spark important culture shifts internally, yet it rarely produces immediate systemic impact unless connected to executive decision-making. Employee-driven advocacy typically scores high on feasibility but vari</w:t>
      </w:r>
      <w:r>
        <w:rPr>
          <w:rFonts w:ascii="Times New Roman" w:eastAsia="Times New Roman" w:hAnsi="Times New Roman" w:cs="Times New Roman"/>
        </w:rPr>
        <w:t>es in impact (</w:t>
      </w:r>
      <w:proofErr w:type="spellStart"/>
      <w:r>
        <w:rPr>
          <w:rFonts w:ascii="Times New Roman" w:eastAsia="Times New Roman" w:hAnsi="Times New Roman" w:cs="Times New Roman"/>
        </w:rPr>
        <w:t>Yuriev</w:t>
      </w:r>
      <w:proofErr w:type="spellEnd"/>
      <w:r>
        <w:rPr>
          <w:rFonts w:ascii="Times New Roman" w:eastAsia="Times New Roman" w:hAnsi="Times New Roman" w:cs="Times New Roman"/>
        </w:rPr>
        <w:t xml:space="preserve"> et al. 2022). Initiatives such as sustainability training, green teams, and grassroots “bottom-up” suggestions are low-cost and require minimal structural change. While such efforts can strengthen a company’s sustainability culture, en</w:t>
      </w:r>
      <w:r>
        <w:rPr>
          <w:rFonts w:ascii="Times New Roman" w:eastAsia="Times New Roman" w:hAnsi="Times New Roman" w:cs="Times New Roman"/>
        </w:rPr>
        <w:t>hance brand reputation, and occasionally influence operational practices, their overall environmental impact tends to remain incremental.</w:t>
      </w:r>
    </w:p>
    <w:p w14:paraId="0000018D"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High-feasibility, low-impact interventions include large-scale collective actions such as Fridays for Future. While th</w:t>
      </w:r>
      <w:r>
        <w:rPr>
          <w:rFonts w:ascii="Times New Roman" w:eastAsia="Times New Roman" w:hAnsi="Times New Roman" w:cs="Times New Roman"/>
        </w:rPr>
        <w:t>ese movements have the potential to generate substantial impact by pressuring corporations and governments, shifting public agendas, and influencing global policy (e.g., Eckersley, Haupt, &amp; Kern, 2025), their feasibility depends on sustained mass mobilizat</w:t>
      </w:r>
      <w:r>
        <w:rPr>
          <w:rFonts w:ascii="Times New Roman" w:eastAsia="Times New Roman" w:hAnsi="Times New Roman" w:cs="Times New Roman"/>
        </w:rPr>
        <w:t>ion, the ability to keep climate action high on the political agenda, and the creation of lasting engagement in climate advocacy.</w:t>
      </w:r>
    </w:p>
    <w:p w14:paraId="0000018E" w14:textId="77777777" w:rsidR="00AB4CD0" w:rsidRDefault="004C12C0">
      <w:pPr>
        <w:numPr>
          <w:ilvl w:val="0"/>
          <w:numId w:val="2"/>
        </w:numPr>
        <w:pBdr>
          <w:top w:val="nil"/>
          <w:left w:val="nil"/>
          <w:bottom w:val="nil"/>
          <w:right w:val="nil"/>
          <w:between w:val="nil"/>
        </w:pBdr>
        <w:spacing w:before="120" w:line="480" w:lineRule="auto"/>
        <w:rPr>
          <w:rFonts w:ascii="Times New Roman" w:eastAsia="Times New Roman" w:hAnsi="Times New Roman" w:cs="Times New Roman"/>
        </w:rPr>
      </w:pPr>
      <w:sdt>
        <w:sdtPr>
          <w:tag w:val="goog_rdk_24"/>
          <w:id w:val="1912865975"/>
        </w:sdtPr>
        <w:sdtEndPr/>
        <w:sdtContent>
          <w:r>
            <w:rPr>
              <w:rFonts w:ascii="Cardo" w:eastAsia="Cardo" w:hAnsi="Cardo" w:cs="Cardo"/>
              <w:b/>
              <w:bCs/>
              <w:color w:val="000000"/>
            </w:rPr>
            <w:t xml:space="preserve">Quadrant IV: </w:t>
          </w:r>
          <w:proofErr w:type="spellStart"/>
          <w:r>
            <w:rPr>
              <w:rFonts w:ascii="Cardo" w:eastAsia="Cardo" w:hAnsi="Cardo" w:cs="Cardo"/>
              <w:b/>
              <w:bCs/>
              <w:color w:val="000000"/>
            </w:rPr>
            <w:t>Macro→M</w:t>
          </w:r>
        </w:sdtContent>
      </w:sdt>
      <w:r>
        <w:rPr>
          <w:rFonts w:ascii="Times New Roman" w:eastAsia="Times New Roman" w:hAnsi="Times New Roman" w:cs="Times New Roman"/>
          <w:b/>
          <w:bCs/>
          <w:color w:val="000000"/>
          <w:shd w:val="clear" w:color="auto" w:fill="FCFCFC"/>
        </w:rPr>
        <w:t>acro</w:t>
      </w:r>
      <w:proofErr w:type="spellEnd"/>
      <w:r>
        <w:rPr>
          <w:rFonts w:ascii="Times New Roman" w:eastAsia="Times New Roman" w:hAnsi="Times New Roman" w:cs="Times New Roman"/>
          <w:b/>
          <w:bCs/>
          <w:color w:val="000000"/>
          <w:shd w:val="clear" w:color="auto" w:fill="FCFCFC"/>
        </w:rPr>
        <w:t xml:space="preserve"> </w:t>
      </w:r>
      <w:r>
        <w:rPr>
          <w:rFonts w:ascii="Times New Roman" w:eastAsia="Times New Roman" w:hAnsi="Times New Roman" w:cs="Times New Roman"/>
          <w:b/>
          <w:bCs/>
          <w:color w:val="000000"/>
        </w:rPr>
        <w:t>Influence</w:t>
      </w:r>
    </w:p>
    <w:p w14:paraId="0000018F" w14:textId="77777777" w:rsidR="00AB4CD0" w:rsidRDefault="004C12C0">
      <w:pPr>
        <w:spacing w:line="480" w:lineRule="auto"/>
        <w:ind w:firstLine="720"/>
        <w:jc w:val="both"/>
        <w:rPr>
          <w:rFonts w:ascii="Times New Roman" w:eastAsia="Times New Roman" w:hAnsi="Times New Roman" w:cs="Times New Roman"/>
        </w:rPr>
      </w:pPr>
      <w:sdt>
        <w:sdtPr>
          <w:tag w:val="goog_rdk_25"/>
          <w:id w:val="704339916"/>
        </w:sdtPr>
        <w:sdtEndPr/>
        <w:sdtContent>
          <w:r>
            <w:rPr>
              <w:rFonts w:ascii="Cardo" w:eastAsia="Cardo" w:hAnsi="Cardo" w:cs="Cardo"/>
            </w:rPr>
            <w:t>Macro actors include institutional investors, corporations, non-governmental organization</w:t>
          </w:r>
          <w:r>
            <w:rPr>
              <w:rFonts w:ascii="Cardo" w:eastAsia="Cardo" w:hAnsi="Cardo" w:cs="Cardo"/>
            </w:rPr>
            <w:t xml:space="preserve">s, government regulators, intergovernmental agencies, political stakeholders, consumer advocacy organizations, and rating agencies. In this quadrant we locate four main types of </w:t>
          </w:r>
          <w:proofErr w:type="spellStart"/>
          <w:r>
            <w:rPr>
              <w:rFonts w:ascii="Cardo" w:eastAsia="Cardo" w:hAnsi="Cardo" w:cs="Cardo"/>
            </w:rPr>
            <w:t>macro→macro</w:t>
          </w:r>
          <w:proofErr w:type="spellEnd"/>
          <w:r>
            <w:rPr>
              <w:rFonts w:ascii="Cardo" w:eastAsia="Cardo" w:hAnsi="Cardo" w:cs="Cardo"/>
            </w:rPr>
            <w:t xml:space="preserve"> interactions: private-to-private, private-to-public, public-to-pri</w:t>
          </w:r>
          <w:r>
            <w:rPr>
              <w:rFonts w:ascii="Cardo" w:eastAsia="Cardo" w:hAnsi="Cardo" w:cs="Cardo"/>
            </w:rPr>
            <w:t xml:space="preserve">vate, and public-to-public. </w:t>
          </w:r>
        </w:sdtContent>
      </w:sdt>
    </w:p>
    <w:p w14:paraId="00000190" w14:textId="77777777" w:rsidR="00AB4CD0" w:rsidRDefault="004C12C0">
      <w:pPr>
        <w:spacing w:before="120" w:line="480" w:lineRule="auto"/>
        <w:rPr>
          <w:rFonts w:ascii="Times New Roman" w:eastAsia="Times New Roman" w:hAnsi="Times New Roman" w:cs="Times New Roman"/>
          <w:i/>
          <w:iCs/>
        </w:rPr>
      </w:pPr>
      <w:r>
        <w:rPr>
          <w:rFonts w:ascii="Times New Roman" w:eastAsia="Times New Roman" w:hAnsi="Times New Roman" w:cs="Times New Roman"/>
          <w:i/>
          <w:iCs/>
        </w:rPr>
        <w:t xml:space="preserve">6.1. Private-to-private </w:t>
      </w:r>
    </w:p>
    <w:p w14:paraId="00000191"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“Private” macro actors are businesses, platforms, corporations, suppliers, industry alliances, lobbying groups, and institutional investors. Firms work with other firms in their supply chains and inno</w:t>
      </w:r>
      <w:r>
        <w:rPr>
          <w:rFonts w:ascii="Times New Roman" w:eastAsia="Times New Roman" w:hAnsi="Times New Roman" w:cs="Times New Roman"/>
        </w:rPr>
        <w:t>vation efforts, strive to meet and influence regulatory standards, and compete for customers. If sustainability considerations lead to compliance, cost savings, and/or a competitive advantage, corporate macro actors will come on board.</w:t>
      </w:r>
    </w:p>
    <w:p w14:paraId="00000192"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Corporations are now</w:t>
      </w:r>
      <w:r>
        <w:rPr>
          <w:rFonts w:ascii="Times New Roman" w:eastAsia="Times New Roman" w:hAnsi="Times New Roman" w:cs="Times New Roman"/>
        </w:rPr>
        <w:t xml:space="preserve"> cognizant not only of their direct (Scope 1) and indirect emissions (Scope 2) but also their total supply-chain emissions (Scope 3, Blanco et al. 2016). In retail, the majority of emissions stem from product supply chains rather than from stores or distri</w:t>
      </w:r>
      <w:r>
        <w:rPr>
          <w:rFonts w:ascii="Times New Roman" w:eastAsia="Times New Roman" w:hAnsi="Times New Roman" w:cs="Times New Roman"/>
        </w:rPr>
        <w:t>bution centers. Some corporations are taking ownership of these environmental impacts, starting to improve the environmental performance and footprint of their entire supply chain (Caro et al. 2013). For example, Walmart launched Project Gigaton™, an initi</w:t>
      </w:r>
      <w:r>
        <w:rPr>
          <w:rFonts w:ascii="Times New Roman" w:eastAsia="Times New Roman" w:hAnsi="Times New Roman" w:cs="Times New Roman"/>
        </w:rPr>
        <w:t>ative developed in collaboration with NGOs and other stakeholders, to engage suppliers with the goal of reducing or avoiding one billion metric tons of greenhouse gas emissions across its global value chain by 2030. Its conditions (reporting emissions, set</w:t>
      </w:r>
      <w:r>
        <w:rPr>
          <w:rFonts w:ascii="Times New Roman" w:eastAsia="Times New Roman" w:hAnsi="Times New Roman" w:cs="Times New Roman"/>
        </w:rPr>
        <w:t xml:space="preserve">ting targets, sharing best practices) have compelled over 5,900 </w:t>
      </w:r>
      <w:r>
        <w:rPr>
          <w:rFonts w:ascii="Times New Roman" w:eastAsia="Times New Roman" w:hAnsi="Times New Roman" w:cs="Times New Roman"/>
        </w:rPr>
        <w:lastRenderedPageBreak/>
        <w:t>suppliers to reduce emissions across six critical areas: energy use, nature, waste, packaging, transportation, product use and design (Walmart 2025).</w:t>
      </w:r>
    </w:p>
    <w:p w14:paraId="00000193"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i/>
          <w:iCs/>
        </w:rPr>
        <w:t>Platforms</w:t>
      </w:r>
      <w:r>
        <w:rPr>
          <w:rFonts w:ascii="Times New Roman" w:eastAsia="Times New Roman" w:hAnsi="Times New Roman" w:cs="Times New Roman"/>
        </w:rPr>
        <w:t xml:space="preserve"> play a particularly powerful rol</w:t>
      </w:r>
      <w:r>
        <w:rPr>
          <w:rFonts w:ascii="Times New Roman" w:eastAsia="Times New Roman" w:hAnsi="Times New Roman" w:cs="Times New Roman"/>
        </w:rPr>
        <w:t xml:space="preserve">e in influencing companies' sustainable behavior by setting ecosystem standards. For example, </w:t>
      </w:r>
      <w:proofErr w:type="spellStart"/>
      <w:r>
        <w:rPr>
          <w:rFonts w:ascii="Times New Roman" w:eastAsia="Times New Roman" w:hAnsi="Times New Roman" w:cs="Times New Roman"/>
        </w:rPr>
        <w:t>Zalando’s</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do.MORE</w:t>
      </w:r>
      <w:proofErr w:type="spellEnd"/>
      <w:proofErr w:type="gramEnd"/>
      <w:r>
        <w:rPr>
          <w:rFonts w:ascii="Times New Roman" w:eastAsia="Times New Roman" w:hAnsi="Times New Roman" w:cs="Times New Roman"/>
        </w:rPr>
        <w:t xml:space="preserve"> strategy requires all partner brands to submit detailed supply chain and environmental data, with compliance determining platform eligibility. T</w:t>
      </w:r>
      <w:r>
        <w:rPr>
          <w:rFonts w:ascii="Times New Roman" w:eastAsia="Times New Roman" w:hAnsi="Times New Roman" w:cs="Times New Roman"/>
        </w:rPr>
        <w:t>his puts direct pressure on thousands of fashion retailers (</w:t>
      </w:r>
      <w:proofErr w:type="spellStart"/>
      <w:r>
        <w:rPr>
          <w:rFonts w:ascii="Times New Roman" w:eastAsia="Times New Roman" w:hAnsi="Times New Roman" w:cs="Times New Roman"/>
        </w:rPr>
        <w:t>Zalando</w:t>
      </w:r>
      <w:proofErr w:type="spellEnd"/>
      <w:r>
        <w:rPr>
          <w:rFonts w:ascii="Times New Roman" w:eastAsia="Times New Roman" w:hAnsi="Times New Roman" w:cs="Times New Roman"/>
        </w:rPr>
        <w:t xml:space="preserve"> 2020). Similarly, Etsy partnered with </w:t>
      </w:r>
      <w:proofErr w:type="spellStart"/>
      <w:r>
        <w:rPr>
          <w:rFonts w:ascii="Times New Roman" w:eastAsia="Times New Roman" w:hAnsi="Times New Roman" w:cs="Times New Roman"/>
        </w:rPr>
        <w:t>EcoAct</w:t>
      </w:r>
      <w:proofErr w:type="spellEnd"/>
      <w:r>
        <w:rPr>
          <w:rFonts w:ascii="Times New Roman" w:eastAsia="Times New Roman" w:hAnsi="Times New Roman" w:cs="Times New Roman"/>
        </w:rPr>
        <w:t xml:space="preserve"> to set science‐based near- and long-term net-zero targets including mandatory sustainability requirements for its marketplace: all sellers’ shi</w:t>
      </w:r>
      <w:r>
        <w:rPr>
          <w:rFonts w:ascii="Times New Roman" w:eastAsia="Times New Roman" w:hAnsi="Times New Roman" w:cs="Times New Roman"/>
        </w:rPr>
        <w:t>pping emissions are offset to achieve carbon-neutral delivery, and sellers must disclose materials and production methods used in their products. In practice, these requirements led many small, handmade retailers to switch to eco-friendly materials in orde</w:t>
      </w:r>
      <w:r>
        <w:rPr>
          <w:rFonts w:ascii="Times New Roman" w:eastAsia="Times New Roman" w:hAnsi="Times New Roman" w:cs="Times New Roman"/>
        </w:rPr>
        <w:t>r to remain eligible, and the share of sellers using sustainable materials climbed to 65 percent (</w:t>
      </w:r>
      <w:proofErr w:type="spellStart"/>
      <w:r>
        <w:rPr>
          <w:rFonts w:ascii="Times New Roman" w:eastAsia="Times New Roman" w:hAnsi="Times New Roman" w:cs="Times New Roman"/>
        </w:rPr>
        <w:t>EcoAct</w:t>
      </w:r>
      <w:proofErr w:type="spellEnd"/>
      <w:r>
        <w:fldChar w:fldCharType="begin"/>
      </w:r>
      <w:r>
        <w:instrText xml:space="preserve"> HYPERLINK "https://eco-act.com/case-study/etsy-sets-ambitious-science-based-near-and-long-term-net-zero-targets" \h </w:instrText>
      </w:r>
      <w:r>
        <w:fldChar w:fldCharType="separate"/>
      </w:r>
      <w:r>
        <w:rPr>
          <w:rFonts w:ascii="Times New Roman" w:eastAsia="Times New Roman" w:hAnsi="Times New Roman" w:cs="Times New Roman"/>
        </w:rPr>
        <w:t xml:space="preserve"> </w:t>
      </w:r>
      <w:r>
        <w:rPr>
          <w:rFonts w:ascii="Times New Roman" w:eastAsia="Times New Roman" w:hAnsi="Times New Roman" w:cs="Times New Roman"/>
        </w:rPr>
        <w:fldChar w:fldCharType="end"/>
      </w:r>
      <w:r>
        <w:rPr>
          <w:rFonts w:ascii="Times New Roman" w:eastAsia="Times New Roman" w:hAnsi="Times New Roman" w:cs="Times New Roman"/>
        </w:rPr>
        <w:t xml:space="preserve">2025). Under Amazon’s “Climate </w:t>
      </w:r>
      <w:r>
        <w:rPr>
          <w:rFonts w:ascii="Times New Roman" w:eastAsia="Times New Roman" w:hAnsi="Times New Roman" w:cs="Times New Roman"/>
        </w:rPr>
        <w:t>Pledge Friendly” program, brands and third-party sellers on the platform must meet at least one of Amazon's Compact by Design standards or earn one of 19 trusted third-party certifications to display the “Climate Pledge Friendly” badge and receive priority</w:t>
      </w:r>
      <w:r>
        <w:rPr>
          <w:rFonts w:ascii="Times New Roman" w:eastAsia="Times New Roman" w:hAnsi="Times New Roman" w:cs="Times New Roman"/>
        </w:rPr>
        <w:t xml:space="preserve"> in search results and filter options. This effectively nudges retailers to redesign products, optimize packaging, or obtain recognized eco-labels (Amazon</w:t>
      </w:r>
      <w:hyperlink r:id="rId43">
        <w:r>
          <w:rPr>
            <w:rFonts w:ascii="Times New Roman" w:eastAsia="Times New Roman" w:hAnsi="Times New Roman" w:cs="Times New Roman"/>
          </w:rPr>
          <w:t xml:space="preserve"> </w:t>
        </w:r>
      </w:hyperlink>
      <w:r>
        <w:rPr>
          <w:rFonts w:ascii="Times New Roman" w:eastAsia="Times New Roman" w:hAnsi="Times New Roman" w:cs="Times New Roman"/>
        </w:rPr>
        <w:t xml:space="preserve">2020). </w:t>
      </w:r>
    </w:p>
    <w:p w14:paraId="00000194"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Microsoft Cloud for Sustainability helps organizations track and reduce environmental impact, especially carbon emissions. By consolidating data and applying AI-driven insights, it both lowers emissions through efficient cloud infrast</w:t>
      </w:r>
      <w:r>
        <w:rPr>
          <w:rFonts w:ascii="Times New Roman" w:eastAsia="Times New Roman" w:hAnsi="Times New Roman" w:cs="Times New Roman"/>
        </w:rPr>
        <w:t>ructure and enables businesses to identify their own reduction opportunities.</w:t>
      </w:r>
    </w:p>
    <w:p w14:paraId="00000195"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i/>
          <w:iCs/>
        </w:rPr>
        <w:t>Coalitions</w:t>
      </w:r>
      <w:r>
        <w:rPr>
          <w:rFonts w:ascii="Times New Roman" w:eastAsia="Times New Roman" w:hAnsi="Times New Roman" w:cs="Times New Roman"/>
        </w:rPr>
        <w:t xml:space="preserve">. Sometimes a group of firms in the same industry forms a coalition to address sustainability issues. A coalition can include competing firms and their supply-chain members. </w:t>
      </w:r>
      <w:r>
        <w:rPr>
          <w:rFonts w:ascii="Times New Roman" w:eastAsia="Times New Roman" w:hAnsi="Times New Roman" w:cs="Times New Roman"/>
        </w:rPr>
        <w:lastRenderedPageBreak/>
        <w:t>While coalitions can effectively organize a supply chain, some scholars have expre</w:t>
      </w:r>
      <w:r>
        <w:rPr>
          <w:rFonts w:ascii="Times New Roman" w:eastAsia="Times New Roman" w:hAnsi="Times New Roman" w:cs="Times New Roman"/>
        </w:rPr>
        <w:t>ssed concerns that coalitions and other sustainability practices have become a means for firms to manage backlash from scrutiny rather than create change (</w:t>
      </w:r>
      <w:proofErr w:type="spellStart"/>
      <w:r>
        <w:rPr>
          <w:rFonts w:ascii="Times New Roman" w:eastAsia="Times New Roman" w:hAnsi="Times New Roman" w:cs="Times New Roman"/>
        </w:rPr>
        <w:t>Kotzian</w:t>
      </w:r>
      <w:proofErr w:type="spellEnd"/>
      <w:r>
        <w:rPr>
          <w:rFonts w:ascii="Times New Roman" w:eastAsia="Times New Roman" w:hAnsi="Times New Roman" w:cs="Times New Roman"/>
        </w:rPr>
        <w:t xml:space="preserve"> 2024).</w:t>
      </w:r>
    </w:p>
    <w:p w14:paraId="00000196"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i/>
          <w:iCs/>
        </w:rPr>
        <w:t>Institutional investors</w:t>
      </w:r>
      <w:r>
        <w:rPr>
          <w:rFonts w:ascii="Times New Roman" w:eastAsia="Times New Roman" w:hAnsi="Times New Roman" w:cs="Times New Roman"/>
        </w:rPr>
        <w:t xml:space="preserve"> can influence publicly traded companies to reduce environmenta</w:t>
      </w:r>
      <w:r>
        <w:rPr>
          <w:rFonts w:ascii="Times New Roman" w:eastAsia="Times New Roman" w:hAnsi="Times New Roman" w:cs="Times New Roman"/>
        </w:rPr>
        <w:t>l footprints by demanding transparency. For example, each year the Carbon Disclosure Project (CDP), a nonprofit organization representing more than $100 trillion in assets, asks top-level management of publicly traded companies to voluntarily disclose thei</w:t>
      </w:r>
      <w:r>
        <w:rPr>
          <w:rFonts w:ascii="Times New Roman" w:eastAsia="Times New Roman" w:hAnsi="Times New Roman" w:cs="Times New Roman"/>
        </w:rPr>
        <w:t xml:space="preserve">r climate change-related risks and opportunities (Flammer et al. 2021). Cohen, </w:t>
      </w:r>
      <w:proofErr w:type="spellStart"/>
      <w:r>
        <w:rPr>
          <w:rFonts w:ascii="Times New Roman" w:eastAsia="Times New Roman" w:hAnsi="Times New Roman" w:cs="Times New Roman"/>
        </w:rPr>
        <w:t>Kadach</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Ormazabal</w:t>
      </w:r>
      <w:proofErr w:type="spellEnd"/>
      <w:r>
        <w:rPr>
          <w:rFonts w:ascii="Times New Roman" w:eastAsia="Times New Roman" w:hAnsi="Times New Roman" w:cs="Times New Roman"/>
        </w:rPr>
        <w:t xml:space="preserve"> (2023) demonstrate that firms with CDP-signatory investors are more likely to disclose to the CDP and subsequently reduce their carbon emissions. Similarly,</w:t>
      </w:r>
      <w:r>
        <w:rPr>
          <w:rFonts w:ascii="Times New Roman" w:eastAsia="Times New Roman" w:hAnsi="Times New Roman" w:cs="Times New Roman"/>
        </w:rPr>
        <w:t xml:space="preserve"> investor coalitions like the Climate Action 100+ initiative</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uniting over 600 global investors, collectively engage with the world’s largest corporate greenhouse gas emitters to ensure these companies commit to emissions reductions, governance frameworks</w:t>
      </w:r>
      <w:r>
        <w:rPr>
          <w:rFonts w:ascii="Times New Roman" w:eastAsia="Times New Roman" w:hAnsi="Times New Roman" w:cs="Times New Roman"/>
        </w:rPr>
        <w:t xml:space="preserve">, and financial disclosures aligned with the Paris Agreement. </w:t>
      </w:r>
    </w:p>
    <w:p w14:paraId="00000197" w14:textId="77777777" w:rsidR="00AB4CD0" w:rsidRDefault="004C12C0">
      <w:pPr>
        <w:spacing w:before="120" w:after="120" w:line="48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6.2. Private-to-public </w:t>
      </w:r>
    </w:p>
    <w:p w14:paraId="00000198"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Researchers are increasingly focusing on lobbying and environmental regulations. Polluting firms oppose environmental regulation because of the expected decrease in profitability, with obvious negative implications for social welfare (Meng &amp; Rode 2019). Be</w:t>
      </w:r>
      <w:r>
        <w:rPr>
          <w:rFonts w:ascii="Times New Roman" w:eastAsia="Times New Roman" w:hAnsi="Times New Roman" w:cs="Times New Roman"/>
        </w:rPr>
        <w:t>st-in-class firms (in terms of environmental performance) favor environmental regulation because it can give them a competitive advantage. Although the expenditures of climate change-related lobbying are small at 4% of total lobbying (</w:t>
      </w:r>
      <w:proofErr w:type="spellStart"/>
      <w:r>
        <w:rPr>
          <w:rFonts w:ascii="Times New Roman" w:eastAsia="Times New Roman" w:hAnsi="Times New Roman" w:cs="Times New Roman"/>
        </w:rPr>
        <w:t>Brulle</w:t>
      </w:r>
      <w:proofErr w:type="spellEnd"/>
      <w:r>
        <w:rPr>
          <w:rFonts w:ascii="Times New Roman" w:eastAsia="Times New Roman" w:hAnsi="Times New Roman" w:cs="Times New Roman"/>
        </w:rPr>
        <w:t xml:space="preserve"> 2018), we can </w:t>
      </w:r>
      <w:r>
        <w:rPr>
          <w:rFonts w:ascii="Times New Roman" w:eastAsia="Times New Roman" w:hAnsi="Times New Roman" w:cs="Times New Roman"/>
        </w:rPr>
        <w:t xml:space="preserve">expect an increase as more climate change-related policies are introduced. </w:t>
      </w:r>
    </w:p>
    <w:p w14:paraId="00000199" w14:textId="77777777" w:rsidR="00AB4CD0" w:rsidRDefault="004C12C0">
      <w:pPr>
        <w:spacing w:before="120" w:line="480" w:lineRule="auto"/>
        <w:jc w:val="both"/>
        <w:rPr>
          <w:rFonts w:ascii="Times New Roman" w:eastAsia="Times New Roman" w:hAnsi="Times New Roman" w:cs="Times New Roman"/>
          <w:i/>
          <w:iCs/>
        </w:rPr>
      </w:pPr>
      <w:r>
        <w:rPr>
          <w:rFonts w:ascii="Times New Roman" w:eastAsia="Times New Roman" w:hAnsi="Times New Roman" w:cs="Times New Roman"/>
          <w:i/>
          <w:iCs/>
        </w:rPr>
        <w:lastRenderedPageBreak/>
        <w:t xml:space="preserve">6.3. Public-to-private </w:t>
      </w:r>
    </w:p>
    <w:p w14:paraId="0000019A"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Public-to-private interactions are the most explored area in business and environmental sustainability research. Work centers on assessing the collective en</w:t>
      </w:r>
      <w:r>
        <w:rPr>
          <w:rFonts w:ascii="Times New Roman" w:eastAsia="Times New Roman" w:hAnsi="Times New Roman" w:cs="Times New Roman"/>
        </w:rPr>
        <w:t>vironmental impacts of new laws, tax breaks, regulations, and other interventions that are applied or offered to private companies. For example, the European Union Emissions Trading System (EU ETS), launched in 2005, is the world’s first and largest carbon</w:t>
      </w:r>
      <w:r>
        <w:rPr>
          <w:rFonts w:ascii="Times New Roman" w:eastAsia="Times New Roman" w:hAnsi="Times New Roman" w:cs="Times New Roman"/>
        </w:rPr>
        <w:t xml:space="preserve"> market. It sets a cap on the total amount of greenhouse gases that can be emitted by covered sectors, with the cap decreasing annually in line with the EU’s climate targets. Emission allowances are allocated through auctions and can be traded on the marke</w:t>
      </w:r>
      <w:r>
        <w:rPr>
          <w:rFonts w:ascii="Times New Roman" w:eastAsia="Times New Roman" w:hAnsi="Times New Roman" w:cs="Times New Roman"/>
        </w:rPr>
        <w:t xml:space="preserve">t. Companies are required to cover their total emissions for the year. Failure to comply results in substantial financial penalties (EC 2025). </w:t>
      </w:r>
    </w:p>
    <w:p w14:paraId="0000019B"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At the state level, New York has proposed the Fashion Sustainability and Social Accountability Act (also known a</w:t>
      </w:r>
      <w:r>
        <w:rPr>
          <w:rFonts w:ascii="Times New Roman" w:eastAsia="Times New Roman" w:hAnsi="Times New Roman" w:cs="Times New Roman"/>
        </w:rPr>
        <w:t>s the Fashion Act). If passed, the bill would require global apparel and footwear companies with an annual global revenue of $100 million operating in New York to disclose social and environmental impacts within their supply chains and set and achieve clim</w:t>
      </w:r>
      <w:r>
        <w:rPr>
          <w:rFonts w:ascii="Times New Roman" w:eastAsia="Times New Roman" w:hAnsi="Times New Roman" w:cs="Times New Roman"/>
        </w:rPr>
        <w:t>ate reductions in line with the Paris Agreement. To pass such legislation, broad support is needed from a range of stakeholders, including industry leaders, union representatives, labor organizations, academic institutions, and advocacy groups, among other</w:t>
      </w:r>
      <w:r>
        <w:rPr>
          <w:rFonts w:ascii="Times New Roman" w:eastAsia="Times New Roman" w:hAnsi="Times New Roman" w:cs="Times New Roman"/>
        </w:rPr>
        <w:t>s.</w:t>
      </w:r>
    </w:p>
    <w:p w14:paraId="0000019C" w14:textId="77777777" w:rsidR="00AB4CD0" w:rsidRDefault="004C12C0">
      <w:pPr>
        <w:spacing w:before="120" w:line="480" w:lineRule="auto"/>
        <w:rPr>
          <w:rFonts w:ascii="Times New Roman" w:eastAsia="Times New Roman" w:hAnsi="Times New Roman" w:cs="Times New Roman"/>
          <w:i/>
          <w:iCs/>
        </w:rPr>
      </w:pPr>
      <w:r>
        <w:rPr>
          <w:rFonts w:ascii="Times New Roman" w:eastAsia="Times New Roman" w:hAnsi="Times New Roman" w:cs="Times New Roman"/>
          <w:i/>
          <w:iCs/>
        </w:rPr>
        <w:t>6.4. Public-to-public</w:t>
      </w:r>
    </w:p>
    <w:p w14:paraId="0000019D" w14:textId="77777777" w:rsidR="00AB4CD0" w:rsidRDefault="004C12C0">
      <w:pPr>
        <w:spacing w:before="120" w:line="480" w:lineRule="auto"/>
        <w:ind w:firstLine="720"/>
        <w:jc w:val="both"/>
        <w:rPr>
          <w:rFonts w:ascii="Times New Roman" w:eastAsia="Times New Roman" w:hAnsi="Times New Roman" w:cs="Times New Roman"/>
          <w:i/>
          <w:iCs/>
        </w:rPr>
      </w:pPr>
      <w:r>
        <w:rPr>
          <w:rFonts w:ascii="Times New Roman" w:eastAsia="Times New Roman" w:hAnsi="Times New Roman" w:cs="Times New Roman"/>
        </w:rPr>
        <w:t>Public-to-public relationships involve governments, intergovernmental agencies, or multi-actor coalitions putting pressure on other governments to engage in sustainable practices and often reshape entire markets and regulatory cont</w:t>
      </w:r>
      <w:r>
        <w:rPr>
          <w:rFonts w:ascii="Times New Roman" w:eastAsia="Times New Roman" w:hAnsi="Times New Roman" w:cs="Times New Roman"/>
        </w:rPr>
        <w:t xml:space="preserve">exts. For example, a total of 195 parties signed the international treaty known as the Paris Agreement in 2015 to address climate change. Since then, scholars have studied the effects of this treaty on environmental outcomes. Liu et al. (2020) model </w:t>
      </w:r>
      <w:r>
        <w:rPr>
          <w:rFonts w:ascii="Times New Roman" w:eastAsia="Times New Roman" w:hAnsi="Times New Roman" w:cs="Times New Roman"/>
        </w:rPr>
        <w:lastRenderedPageBreak/>
        <w:t>the re</w:t>
      </w:r>
      <w:r>
        <w:rPr>
          <w:rFonts w:ascii="Times New Roman" w:eastAsia="Times New Roman" w:hAnsi="Times New Roman" w:cs="Times New Roman"/>
        </w:rPr>
        <w:t>sulting effects on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emissions if the milestones of the Paris Agreement are met and perform sensitivity analyses if major countries such as the US were to unilaterally withdraw from the Agreement. Others have studied treaties more generally. For example,</w:t>
      </w:r>
      <w:r>
        <w:rPr>
          <w:rFonts w:ascii="Times New Roman" w:eastAsia="Times New Roman" w:hAnsi="Times New Roman" w:cs="Times New Roman"/>
        </w:rPr>
        <w:t xml:space="preserve"> Brandi et al. (2019) report a positive relationship between domestic environmental legislation and both international environmental treaties and preferential trade agreements. A large gap remains in the literature concerning how enforcement of treaties af</w:t>
      </w:r>
      <w:r>
        <w:rPr>
          <w:rFonts w:ascii="Times New Roman" w:eastAsia="Times New Roman" w:hAnsi="Times New Roman" w:cs="Times New Roman"/>
        </w:rPr>
        <w:t xml:space="preserve">fects actual environmental outcomes. </w:t>
      </w:r>
    </w:p>
    <w:p w14:paraId="0000019E" w14:textId="77777777" w:rsidR="00AB4CD0" w:rsidRDefault="004C12C0">
      <w:pPr>
        <w:spacing w:before="120" w:line="480" w:lineRule="auto"/>
        <w:rPr>
          <w:rFonts w:ascii="Times New Roman" w:eastAsia="Times New Roman" w:hAnsi="Times New Roman" w:cs="Times New Roman"/>
          <w:i/>
          <w:iCs/>
        </w:rPr>
      </w:pPr>
      <w:r>
        <w:rPr>
          <w:rFonts w:ascii="Times New Roman" w:eastAsia="Times New Roman" w:hAnsi="Times New Roman" w:cs="Times New Roman"/>
          <w:i/>
          <w:iCs/>
        </w:rPr>
        <w:t>6.5. Feasibility and impact Quadrant IV (QIV)</w:t>
      </w:r>
    </w:p>
    <w:p w14:paraId="0000019F"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Interventions in the high-feasibility, high-impact quadrant are mostly platform-driven, underscoring the cascading influence of supply chains. Large corporations (e.g., Wal</w:t>
      </w:r>
      <w:r>
        <w:rPr>
          <w:rFonts w:ascii="Times New Roman" w:eastAsia="Times New Roman" w:hAnsi="Times New Roman" w:cs="Times New Roman"/>
          <w:highlight w:val="white"/>
        </w:rPr>
        <w:t xml:space="preserve">mart, Amazon, </w:t>
      </w:r>
      <w:proofErr w:type="spellStart"/>
      <w:r>
        <w:rPr>
          <w:rFonts w:ascii="Times New Roman" w:eastAsia="Times New Roman" w:hAnsi="Times New Roman" w:cs="Times New Roman"/>
          <w:highlight w:val="white"/>
        </w:rPr>
        <w:t>Zalando</w:t>
      </w:r>
      <w:proofErr w:type="spellEnd"/>
      <w:r>
        <w:rPr>
          <w:rFonts w:ascii="Times New Roman" w:eastAsia="Times New Roman" w:hAnsi="Times New Roman" w:cs="Times New Roman"/>
          <w:highlight w:val="white"/>
        </w:rPr>
        <w:t>) function as sustainability gatekeepers by leveraging environmental requirements as platform participation criteria. In doing so, they extend sustainability mandates downstream and exert influence over vast supplier networks (Spicer &amp;</w:t>
      </w:r>
      <w:r>
        <w:rPr>
          <w:rFonts w:ascii="Times New Roman" w:eastAsia="Times New Roman" w:hAnsi="Times New Roman" w:cs="Times New Roman"/>
          <w:highlight w:val="white"/>
        </w:rPr>
        <w:t xml:space="preserve"> Hyatt 2017). The diffusion of standards on the macro level thus constitutes a particularly effective intervention.</w:t>
      </w:r>
    </w:p>
    <w:p w14:paraId="000001A0"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In contrast to the major platforms in the broader retail market, initiatives such as Etsy’s sustainability standards and net-zero commitment</w:t>
      </w:r>
      <w:r>
        <w:rPr>
          <w:rFonts w:ascii="Times New Roman" w:eastAsia="Times New Roman" w:hAnsi="Times New Roman" w:cs="Times New Roman"/>
        </w:rPr>
        <w:t xml:space="preserve">s, Booking’s Sustainability Handbook and certification, or Uber Eats’ </w:t>
      </w:r>
      <w:r>
        <w:rPr>
          <w:rFonts w:ascii="Times New Roman" w:eastAsia="Times New Roman" w:hAnsi="Times New Roman" w:cs="Times New Roman"/>
          <w:i/>
          <w:iCs/>
        </w:rPr>
        <w:t>Delivering a Greener Future</w:t>
      </w:r>
      <w:r>
        <w:rPr>
          <w:rFonts w:ascii="Times New Roman" w:eastAsia="Times New Roman" w:hAnsi="Times New Roman" w:cs="Times New Roman"/>
        </w:rPr>
        <w:t xml:space="preserve"> campaign exhibit similar feasibility but relatively low impact. Their limited scope (e.g., specific delivery models or sectors) and smaller market size constr</w:t>
      </w:r>
      <w:r>
        <w:rPr>
          <w:rFonts w:ascii="Times New Roman" w:eastAsia="Times New Roman" w:hAnsi="Times New Roman" w:cs="Times New Roman"/>
        </w:rPr>
        <w:t>ain their overall influence. Accordingly, these interventions fall within the high-feasibility, low-impact quadrant.</w:t>
      </w:r>
    </w:p>
    <w:p w14:paraId="000001A1"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Policy and regulatory tools (EU ETS, Paris Agreement, regulations on supply chains or products) represent the most effective long-term inte</w:t>
      </w:r>
      <w:r>
        <w:rPr>
          <w:rFonts w:ascii="Times New Roman" w:eastAsia="Times New Roman" w:hAnsi="Times New Roman" w:cs="Times New Roman"/>
        </w:rPr>
        <w:t xml:space="preserve">rventions, given their capacity to transform markets at scale. For example, the EU ETS has reduced greenhouse gas emissions from the power and industrial sectors by 47% between 2005 and 2023 (EC 2025). However, these tools typically </w:t>
      </w:r>
      <w:r>
        <w:rPr>
          <w:rFonts w:ascii="Times New Roman" w:eastAsia="Times New Roman" w:hAnsi="Times New Roman" w:cs="Times New Roman"/>
        </w:rPr>
        <w:lastRenderedPageBreak/>
        <w:t>face low feasibility, a</w:t>
      </w:r>
      <w:r>
        <w:rPr>
          <w:rFonts w:ascii="Times New Roman" w:eastAsia="Times New Roman" w:hAnsi="Times New Roman" w:cs="Times New Roman"/>
        </w:rPr>
        <w:t>s they require strong governance structures and political consensus, and enforcement mechanisms to overcome resistance and implementation challenges.</w:t>
      </w:r>
    </w:p>
    <w:p w14:paraId="000001A2"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Finally, initiatives such as the CDP and Climate Action 100+ have been effective in enhancing corporate cl</w:t>
      </w:r>
      <w:r>
        <w:rPr>
          <w:rFonts w:ascii="Times New Roman" w:eastAsia="Times New Roman" w:hAnsi="Times New Roman" w:cs="Times New Roman"/>
        </w:rPr>
        <w:t xml:space="preserve">imate transparency and ambition, but their capacity to drive immediate emission reductions is limited (e.g., </w:t>
      </w:r>
      <w:proofErr w:type="spellStart"/>
      <w:r>
        <w:rPr>
          <w:rFonts w:ascii="Times New Roman" w:eastAsia="Times New Roman" w:hAnsi="Times New Roman" w:cs="Times New Roman"/>
        </w:rPr>
        <w:t>Hastreiter</w:t>
      </w:r>
      <w:proofErr w:type="spellEnd"/>
      <w:r>
        <w:rPr>
          <w:rFonts w:ascii="Times New Roman" w:eastAsia="Times New Roman" w:hAnsi="Times New Roman" w:cs="Times New Roman"/>
        </w:rPr>
        <w:t xml:space="preserve"> 2024). They suffer from voluntary participation, weak enforcement mechanisms, and dependence on continued investor coordination. They ca</w:t>
      </w:r>
      <w:r>
        <w:rPr>
          <w:rFonts w:ascii="Times New Roman" w:eastAsia="Times New Roman" w:hAnsi="Times New Roman" w:cs="Times New Roman"/>
        </w:rPr>
        <w:t>n nudge corporate behavior but rarely create systemic change on their own, placing them in the low-feasibility, low-impact quadrant.</w:t>
      </w:r>
    </w:p>
    <w:p w14:paraId="000001A3" w14:textId="77777777" w:rsidR="00AB4CD0" w:rsidRDefault="004C12C0">
      <w:pPr>
        <w:numPr>
          <w:ilvl w:val="0"/>
          <w:numId w:val="2"/>
        </w:numPr>
        <w:pBdr>
          <w:top w:val="nil"/>
          <w:left w:val="nil"/>
          <w:bottom w:val="nil"/>
          <w:right w:val="nil"/>
          <w:between w:val="nil"/>
        </w:pBdr>
        <w:spacing w:before="120" w:line="480" w:lineRule="auto"/>
        <w:rPr>
          <w:rFonts w:ascii="Times New Roman" w:eastAsia="Times New Roman" w:hAnsi="Times New Roman" w:cs="Times New Roman"/>
        </w:rPr>
      </w:pPr>
      <w:r>
        <w:rPr>
          <w:rFonts w:ascii="Times New Roman" w:eastAsia="Times New Roman" w:hAnsi="Times New Roman" w:cs="Times New Roman"/>
          <w:b/>
          <w:bCs/>
          <w:color w:val="000000"/>
        </w:rPr>
        <w:t>Spillovers and carryovers</w:t>
      </w:r>
    </w:p>
    <w:p w14:paraId="000001A4" w14:textId="77777777" w:rsidR="00AB4CD0" w:rsidRDefault="004C12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 xml:space="preserve">We have demonstrated how a variety of sustainability interventions may target specific stakeholders or actors within retail value chains, including individual consumers, employees, suppliers, and retail organizations themselves. These interventions aim to </w:t>
      </w:r>
      <w:r>
        <w:rPr>
          <w:rFonts w:ascii="Times New Roman" w:eastAsia="Times New Roman" w:hAnsi="Times New Roman" w:cs="Times New Roman"/>
        </w:rPr>
        <w:t>change “targeted” behaviors, but they may also affect “non-targeted” behaviors throughout the retail system.</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For example, retailer policies encouraging customers to bring their own shopping bags (targeted behavior) can lead to increased purchases of envir</w:t>
      </w:r>
      <w:r>
        <w:rPr>
          <w:rFonts w:ascii="Times New Roman" w:eastAsia="Times New Roman" w:hAnsi="Times New Roman" w:cs="Times New Roman"/>
        </w:rPr>
        <w:t>onmentally friendly organic foods (non-targeted behavior), creating positive spillovers that extend the environmental benefits beyond the original waste reduction objective (</w:t>
      </w:r>
      <w:proofErr w:type="spellStart"/>
      <w:r>
        <w:rPr>
          <w:rFonts w:ascii="Times New Roman" w:eastAsia="Times New Roman" w:hAnsi="Times New Roman" w:cs="Times New Roman"/>
        </w:rPr>
        <w:t>Karmarkar</w:t>
      </w:r>
      <w:proofErr w:type="spellEnd"/>
      <w:r>
        <w:rPr>
          <w:rFonts w:ascii="Times New Roman" w:eastAsia="Times New Roman" w:hAnsi="Times New Roman" w:cs="Times New Roman"/>
        </w:rPr>
        <w:t xml:space="preserve"> &amp; Bollinger 2015).</w:t>
      </w:r>
    </w:p>
    <w:p w14:paraId="000001A5" w14:textId="77777777" w:rsidR="00AB4CD0" w:rsidRDefault="004C12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rPr>
      </w:pPr>
      <w:r>
        <w:rPr>
          <w:rFonts w:ascii="Times New Roman" w:eastAsia="Times New Roman" w:hAnsi="Times New Roman" w:cs="Times New Roman"/>
        </w:rPr>
        <w:tab/>
        <w:t>Given the large-scale changes needed to mitigate and</w:t>
      </w:r>
      <w:r>
        <w:rPr>
          <w:rFonts w:ascii="Times New Roman" w:eastAsia="Times New Roman" w:hAnsi="Times New Roman" w:cs="Times New Roman"/>
        </w:rPr>
        <w:t xml:space="preserve"> adapt to climate change, spillovers are helpful to facilitate much-needed shifts in lifestyle and consumption patterns (Nash &amp; </w:t>
      </w:r>
      <w:proofErr w:type="spellStart"/>
      <w:r>
        <w:rPr>
          <w:rFonts w:ascii="Times New Roman" w:eastAsia="Times New Roman" w:hAnsi="Times New Roman" w:cs="Times New Roman"/>
        </w:rPr>
        <w:t>Whitmarch</w:t>
      </w:r>
      <w:proofErr w:type="spellEnd"/>
      <w:r>
        <w:rPr>
          <w:rFonts w:ascii="Times New Roman" w:eastAsia="Times New Roman" w:hAnsi="Times New Roman" w:cs="Times New Roman"/>
        </w:rPr>
        <w:t xml:space="preserve"> 2023; Truelove et al. 2014). But spillovers can also have negative environmental implications (see Maki et al. 2019, f</w:t>
      </w:r>
      <w:r>
        <w:rPr>
          <w:rFonts w:ascii="Times New Roman" w:eastAsia="Times New Roman" w:hAnsi="Times New Roman" w:cs="Times New Roman"/>
        </w:rPr>
        <w:t xml:space="preserve">or a meta-analysis). For example, a governmental ban on the free provision of </w:t>
      </w:r>
      <w:r>
        <w:rPr>
          <w:rFonts w:ascii="Times New Roman" w:eastAsia="Times New Roman" w:hAnsi="Times New Roman" w:cs="Times New Roman"/>
        </w:rPr>
        <w:lastRenderedPageBreak/>
        <w:t>grocery bags by retail stores can also lead to an unintended increase in the purchase of thicker plastic trash bags, as consumers need to line their trash bins that were previous</w:t>
      </w:r>
      <w:r>
        <w:rPr>
          <w:rFonts w:ascii="Times New Roman" w:eastAsia="Times New Roman" w:hAnsi="Times New Roman" w:cs="Times New Roman"/>
        </w:rPr>
        <w:t>ly lined with the free grocery bags (Huang &amp; Woodward 2022). Moreover, the resulting spillover demand for trash bags especially benefits retailer brands (Puranam et al. 2025).</w:t>
      </w:r>
    </w:p>
    <w:p w14:paraId="000001A6"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Furthermore, sustainability interventions such as government policies may be rol</w:t>
      </w:r>
      <w:r>
        <w:rPr>
          <w:rFonts w:ascii="Times New Roman" w:eastAsia="Times New Roman" w:hAnsi="Times New Roman" w:cs="Times New Roman"/>
        </w:rPr>
        <w:t>led back, but their effects may persist even after the incentives (or disincentives) are removed, a phenomenon referred to as “carryover.” This can apply to both the initial targeted behavior and spillover behavior. These carryover effects are particularly</w:t>
      </w:r>
      <w:r>
        <w:rPr>
          <w:rFonts w:ascii="Times New Roman" w:eastAsia="Times New Roman" w:hAnsi="Times New Roman" w:cs="Times New Roman"/>
        </w:rPr>
        <w:t xml:space="preserve"> important when considering policy design and evaluation, as demonstrated by research showing persistent impacts on trash bag purchases even after plastic bag policy repeals (Puranam et al. 2025). Because spillovers and carryovers can amplify or dilute the</w:t>
      </w:r>
      <w:r>
        <w:rPr>
          <w:rFonts w:ascii="Times New Roman" w:eastAsia="Times New Roman" w:hAnsi="Times New Roman" w:cs="Times New Roman"/>
        </w:rPr>
        <w:t xml:space="preserve"> positive effects of a sustainability intervention, they are important to consider when developing intervention strategies for consumption and production. </w:t>
      </w:r>
    </w:p>
    <w:p w14:paraId="000001A7" w14:textId="77777777" w:rsidR="00AB4CD0" w:rsidRDefault="004C12C0">
      <w:pPr>
        <w:spacing w:line="480" w:lineRule="auto"/>
        <w:ind w:firstLine="720"/>
        <w:jc w:val="both"/>
        <w:rPr>
          <w:rFonts w:ascii="Times New Roman" w:eastAsia="Times New Roman" w:hAnsi="Times New Roman" w:cs="Times New Roman"/>
        </w:rPr>
      </w:pPr>
      <w:sdt>
        <w:sdtPr>
          <w:tag w:val="goog_rdk_26"/>
          <w:id w:val="1603906238"/>
        </w:sdtPr>
        <w:sdtEndPr/>
        <w:sdtContent>
          <w:r>
            <w:rPr>
              <w:rFonts w:ascii="Cardo" w:eastAsia="Cardo" w:hAnsi="Cardo" w:cs="Cardo"/>
            </w:rPr>
            <w:t>The contributions of spillovers and carryovers are important considerations for each of the quadrant</w:t>
          </w:r>
          <w:r>
            <w:rPr>
              <w:rFonts w:ascii="Cardo" w:eastAsia="Cardo" w:hAnsi="Cardo" w:cs="Cardo"/>
            </w:rPr>
            <w:t>s, as they can influence the direction of impact in the second stage of the framework. These effects may also operate across multiple quadrants. For example, when government incentives for electric vehicles influence consumer adoption (</w:t>
          </w:r>
          <w:proofErr w:type="spellStart"/>
          <w:r>
            <w:rPr>
              <w:rFonts w:ascii="Cardo" w:eastAsia="Cardo" w:hAnsi="Cardo" w:cs="Cardo"/>
            </w:rPr>
            <w:t>macro→micro</w:t>
          </w:r>
          <w:proofErr w:type="spellEnd"/>
          <w:r>
            <w:rPr>
              <w:rFonts w:ascii="Cardo" w:eastAsia="Cardo" w:hAnsi="Cardo" w:cs="Cardo"/>
            </w:rPr>
            <w:t>), this c</w:t>
          </w:r>
          <w:r>
            <w:rPr>
              <w:rFonts w:ascii="Cardo" w:eastAsia="Cardo" w:hAnsi="Cardo" w:cs="Cardo"/>
            </w:rPr>
            <w:t>an create market signals that affect industry production decisions (</w:t>
          </w:r>
          <w:proofErr w:type="spellStart"/>
          <w:r>
            <w:rPr>
              <w:rFonts w:ascii="Cardo" w:eastAsia="Cardo" w:hAnsi="Cardo" w:cs="Cardo"/>
            </w:rPr>
            <w:t>macro→macro</w:t>
          </w:r>
          <w:proofErr w:type="spellEnd"/>
          <w:r>
            <w:rPr>
              <w:rFonts w:ascii="Cardo" w:eastAsia="Cardo" w:hAnsi="Cardo" w:cs="Cardo"/>
            </w:rPr>
            <w:t>).</w:t>
          </w:r>
        </w:sdtContent>
      </w:sdt>
    </w:p>
    <w:p w14:paraId="000001A8" w14:textId="77777777" w:rsidR="00AB4CD0" w:rsidRDefault="004C12C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Significant additional research is needed to better understand the non-targeted effects of the initial interventions. Effective intervention strategies should consider pilo</w:t>
      </w:r>
      <w:r>
        <w:rPr>
          <w:rFonts w:ascii="Times New Roman" w:eastAsia="Times New Roman" w:hAnsi="Times New Roman" w:cs="Times New Roman"/>
        </w:rPr>
        <w:t>t tests to evaluate spillovers pre-implementation, incorporating spillover tracking into monitoring, and planning for carryover during the repeal of an intervention.</w:t>
      </w:r>
    </w:p>
    <w:p w14:paraId="000001A9" w14:textId="77777777" w:rsidR="00AB4CD0" w:rsidRDefault="004C12C0">
      <w:pPr>
        <w:numPr>
          <w:ilvl w:val="0"/>
          <w:numId w:val="2"/>
        </w:numPr>
        <w:pBdr>
          <w:top w:val="nil"/>
          <w:left w:val="nil"/>
          <w:bottom w:val="nil"/>
          <w:right w:val="nil"/>
          <w:between w:val="nil"/>
        </w:pBdr>
        <w:spacing w:before="120" w:line="480" w:lineRule="auto"/>
        <w:rPr>
          <w:rFonts w:ascii="Times New Roman" w:eastAsia="Times New Roman" w:hAnsi="Times New Roman" w:cs="Times New Roman"/>
        </w:rPr>
      </w:pPr>
      <w:r>
        <w:rPr>
          <w:rFonts w:ascii="Times New Roman" w:eastAsia="Times New Roman" w:hAnsi="Times New Roman" w:cs="Times New Roman"/>
          <w:b/>
          <w:bCs/>
          <w:color w:val="000000"/>
        </w:rPr>
        <w:t>General Discussion</w:t>
      </w:r>
    </w:p>
    <w:p w14:paraId="000001AA" w14:textId="77777777" w:rsidR="00AB4CD0" w:rsidRDefault="004C12C0">
      <w:pPr>
        <w:spacing w:before="120"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rPr>
        <w:lastRenderedPageBreak/>
        <w:t>A large body of work in marketing and related disciplines, including ec</w:t>
      </w:r>
      <w:r>
        <w:rPr>
          <w:rFonts w:ascii="Times New Roman" w:eastAsia="Times New Roman" w:hAnsi="Times New Roman" w:cs="Times New Roman"/>
        </w:rPr>
        <w:t>onomics and industrial ecology, has explored efforts by governments, businesses, advocacy groups, and others to contribute to environmental consumption and production cycles. In addition, multiple interventions aimed at “nudging” individual consumers to ma</w:t>
      </w:r>
      <w:r>
        <w:rPr>
          <w:rFonts w:ascii="Times New Roman" w:eastAsia="Times New Roman" w:hAnsi="Times New Roman" w:cs="Times New Roman"/>
        </w:rPr>
        <w:t>ke more environmental decisions have been tried, analyzed, and promoted. Given the critical need for change to occur more rapidly, all these efforts need to be streamlined and focused. The framework put forth in this paper aims to guide researchers and sta</w:t>
      </w:r>
      <w:r>
        <w:rPr>
          <w:rFonts w:ascii="Times New Roman" w:eastAsia="Times New Roman" w:hAnsi="Times New Roman" w:cs="Times New Roman"/>
        </w:rPr>
        <w:t xml:space="preserve">keholders how to have the greatest impact on achieving </w:t>
      </w:r>
      <w:r>
        <w:rPr>
          <w:rFonts w:ascii="Times New Roman" w:eastAsia="Times New Roman" w:hAnsi="Times New Roman" w:cs="Times New Roman"/>
          <w:highlight w:val="white"/>
        </w:rPr>
        <w:t>sustainable patterns of consumption and production, and where additional research is most needed.</w:t>
      </w:r>
    </w:p>
    <w:p w14:paraId="000001AB"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In the first stage of our two-stage framework, the source–target matrix, we distinguish between micro and macro actors that may utilize different types of interventions to influence each other from a retail perspective. This distinction allowed us to map t</w:t>
      </w:r>
      <w:r>
        <w:rPr>
          <w:rFonts w:ascii="Times New Roman" w:eastAsia="Times New Roman" w:hAnsi="Times New Roman" w:cs="Times New Roman"/>
          <w:highlight w:val="white"/>
        </w:rPr>
        <w:t xml:space="preserve">he interventions from the literature across a 2x2 matrix. </w:t>
      </w:r>
      <w:sdt>
        <w:sdtPr>
          <w:tag w:val="goog_rdk_27"/>
          <w:id w:val="1714509443"/>
        </w:sdtPr>
        <w:sdtEndPr/>
        <w:sdtContent>
          <w:r>
            <w:rPr>
              <w:rFonts w:ascii="Cardo" w:eastAsia="Cardo" w:hAnsi="Cardo" w:cs="Cardo"/>
            </w:rPr>
            <w:t xml:space="preserve">The matrix highlights a strong emphasis in the literature on </w:t>
          </w:r>
          <w:proofErr w:type="spellStart"/>
          <w:r>
            <w:rPr>
              <w:rFonts w:ascii="Cardo" w:eastAsia="Cardo" w:hAnsi="Cardo" w:cs="Cardo"/>
            </w:rPr>
            <w:t>macro→micro</w:t>
          </w:r>
          <w:proofErr w:type="spellEnd"/>
          <w:r>
            <w:rPr>
              <w:rFonts w:ascii="Cardo" w:eastAsia="Cardo" w:hAnsi="Cardo" w:cs="Cardo"/>
            </w:rPr>
            <w:t xml:space="preserve"> interventions, particularly those targeting consumers, whereas research on micro actors like employees or small business owne</w:t>
          </w:r>
          <w:r>
            <w:rPr>
              <w:rFonts w:ascii="Cardo" w:eastAsia="Cardo" w:hAnsi="Cardo" w:cs="Cardo"/>
            </w:rPr>
            <w:t xml:space="preserve">rs remains scarce. By contrast, fewer interventions are documented in the other quadrants. One possible explanation is that </w:t>
          </w:r>
          <w:proofErr w:type="spellStart"/>
          <w:r>
            <w:rPr>
              <w:rFonts w:ascii="Cardo" w:eastAsia="Cardo" w:hAnsi="Cardo" w:cs="Cardo"/>
            </w:rPr>
            <w:t>macro→micro</w:t>
          </w:r>
          <w:proofErr w:type="spellEnd"/>
          <w:r>
            <w:rPr>
              <w:rFonts w:ascii="Cardo" w:eastAsia="Cardo" w:hAnsi="Cardo" w:cs="Cardo"/>
            </w:rPr>
            <w:t xml:space="preserve"> interventions are easier to study and operationalize (</w:t>
          </w:r>
          <w:proofErr w:type="spellStart"/>
          <w:r>
            <w:rPr>
              <w:rFonts w:ascii="Cardo" w:eastAsia="Cardo" w:hAnsi="Cardo" w:cs="Cardo"/>
            </w:rPr>
            <w:t>Lembregts</w:t>
          </w:r>
          <w:proofErr w:type="spellEnd"/>
          <w:r>
            <w:rPr>
              <w:rFonts w:ascii="Cardo" w:eastAsia="Cardo" w:hAnsi="Cardo" w:cs="Cardo"/>
            </w:rPr>
            <w:t xml:space="preserve"> &amp; </w:t>
          </w:r>
          <w:proofErr w:type="spellStart"/>
          <w:r>
            <w:rPr>
              <w:rFonts w:ascii="Cardo" w:eastAsia="Cardo" w:hAnsi="Cardo" w:cs="Cardo"/>
            </w:rPr>
            <w:t>Cadario</w:t>
          </w:r>
          <w:proofErr w:type="spellEnd"/>
          <w:r>
            <w:rPr>
              <w:rFonts w:ascii="Cardo" w:eastAsia="Cardo" w:hAnsi="Cardo" w:cs="Cardo"/>
            </w:rPr>
            <w:t xml:space="preserve"> 2024). However, it is important to recognize t</w:t>
          </w:r>
          <w:r>
            <w:rPr>
              <w:rFonts w:ascii="Cardo" w:eastAsia="Cardo" w:hAnsi="Cardo" w:cs="Cardo"/>
            </w:rPr>
            <w:t>hat the majority of emissions are generated by macro-level actors.</w:t>
          </w:r>
        </w:sdtContent>
      </w:sdt>
    </w:p>
    <w:p w14:paraId="000001AC"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We applied the second stage of our framework, the feasibility–impact matrix, to map the introduced interventions along the dimensions of</w:t>
      </w:r>
      <w:r>
        <w:rPr>
          <w:rFonts w:ascii="Times New Roman" w:eastAsia="Times New Roman" w:hAnsi="Times New Roman" w:cs="Times New Roman"/>
        </w:rPr>
        <w:t xml:space="preserve"> </w:t>
      </w:r>
      <w:r>
        <w:rPr>
          <w:rFonts w:ascii="Times New Roman" w:eastAsia="Times New Roman" w:hAnsi="Times New Roman" w:cs="Times New Roman"/>
          <w:i/>
          <w:iCs/>
        </w:rPr>
        <w:t xml:space="preserve">feasibility </w:t>
      </w:r>
      <w:r>
        <w:rPr>
          <w:rFonts w:ascii="Times New Roman" w:eastAsia="Times New Roman" w:hAnsi="Times New Roman" w:cs="Times New Roman"/>
        </w:rPr>
        <w:t xml:space="preserve">and the </w:t>
      </w:r>
      <w:r>
        <w:rPr>
          <w:rFonts w:ascii="Times New Roman" w:eastAsia="Times New Roman" w:hAnsi="Times New Roman" w:cs="Times New Roman"/>
          <w:i/>
          <w:iCs/>
        </w:rPr>
        <w:t xml:space="preserve">impact </w:t>
      </w:r>
      <w:r>
        <w:rPr>
          <w:rFonts w:ascii="Times New Roman" w:eastAsia="Times New Roman" w:hAnsi="Times New Roman" w:cs="Times New Roman"/>
        </w:rPr>
        <w:t>of measurable environme</w:t>
      </w:r>
      <w:r>
        <w:rPr>
          <w:rFonts w:ascii="Times New Roman" w:eastAsia="Times New Roman" w:hAnsi="Times New Roman" w:cs="Times New Roman"/>
        </w:rPr>
        <w:t xml:space="preserve">ntal improvements in production and consumption. Examining the interventions through this lens shows a lack of high-feasibility, high-impact interventions across the four </w:t>
      </w:r>
      <w:r>
        <w:rPr>
          <w:rFonts w:ascii="Times New Roman" w:eastAsia="Times New Roman" w:hAnsi="Times New Roman" w:cs="Times New Roman"/>
        </w:rPr>
        <w:lastRenderedPageBreak/>
        <w:t xml:space="preserve">quadrants. This is in line with previous research warning that marketing scholarship </w:t>
      </w:r>
      <w:r>
        <w:rPr>
          <w:rFonts w:ascii="Times New Roman" w:eastAsia="Times New Roman" w:hAnsi="Times New Roman" w:cs="Times New Roman"/>
        </w:rPr>
        <w:t>is often limited to low-impact areas (</w:t>
      </w:r>
      <w:proofErr w:type="spellStart"/>
      <w:r>
        <w:rPr>
          <w:rFonts w:ascii="Times New Roman" w:eastAsia="Times New Roman" w:hAnsi="Times New Roman" w:cs="Times New Roman"/>
        </w:rPr>
        <w:t>Lembregts</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Cadario</w:t>
      </w:r>
      <w:proofErr w:type="spellEnd"/>
      <w:r>
        <w:rPr>
          <w:rFonts w:ascii="Times New Roman" w:eastAsia="Times New Roman" w:hAnsi="Times New Roman" w:cs="Times New Roman"/>
        </w:rPr>
        <w:t xml:space="preserve"> 2024). It can also be seen that interventions by macro sources often provide higher impact than those by micro sources. While research related to high feasibility and high impact should be prioritiz</w:t>
      </w:r>
      <w:r>
        <w:rPr>
          <w:rFonts w:ascii="Times New Roman" w:eastAsia="Times New Roman" w:hAnsi="Times New Roman" w:cs="Times New Roman"/>
        </w:rPr>
        <w:t xml:space="preserve">ed, more research is also needed to understand how to better utilize interventions with low feasibility but high potential impact and scale up highly feasible interventions with small impact. </w:t>
      </w:r>
    </w:p>
    <w:p w14:paraId="000001AD" w14:textId="77777777" w:rsidR="00AB4CD0" w:rsidRDefault="004C12C0">
      <w:pPr>
        <w:spacing w:before="120" w:line="480" w:lineRule="auto"/>
        <w:jc w:val="both"/>
        <w:rPr>
          <w:rFonts w:ascii="Times New Roman" w:eastAsia="Times New Roman" w:hAnsi="Times New Roman" w:cs="Times New Roman"/>
          <w:i/>
          <w:iCs/>
        </w:rPr>
      </w:pPr>
      <w:r>
        <w:rPr>
          <w:rFonts w:ascii="Times New Roman" w:eastAsia="Times New Roman" w:hAnsi="Times New Roman" w:cs="Times New Roman"/>
          <w:i/>
          <w:iCs/>
        </w:rPr>
        <w:t>8.1. Limitations of this framework</w:t>
      </w:r>
    </w:p>
    <w:p w14:paraId="000001AE"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While the social and economi</w:t>
      </w:r>
      <w:r>
        <w:rPr>
          <w:rFonts w:ascii="Times New Roman" w:eastAsia="Times New Roman" w:hAnsi="Times New Roman" w:cs="Times New Roman"/>
        </w:rPr>
        <w:t>c dimensions of sustainability are also important, our analysis deliberately focuses on environmental sustainability through the lens of SDG 12, which is most closely aligned with the retail sector. This facilitates analytical clarity and provides more act</w:t>
      </w:r>
      <w:r>
        <w:rPr>
          <w:rFonts w:ascii="Times New Roman" w:eastAsia="Times New Roman" w:hAnsi="Times New Roman" w:cs="Times New Roman"/>
        </w:rPr>
        <w:t>ionable insights. Fully addressing the interconnections between environmental and social responsibility—especially for broader SDGs—remains a critical area for future research (</w:t>
      </w:r>
      <w:proofErr w:type="spellStart"/>
      <w:r>
        <w:rPr>
          <w:rFonts w:ascii="Times New Roman" w:eastAsia="Times New Roman" w:hAnsi="Times New Roman" w:cs="Times New Roman"/>
        </w:rPr>
        <w:t>Holtrop</w:t>
      </w:r>
      <w:proofErr w:type="spellEnd"/>
      <w:r>
        <w:rPr>
          <w:rFonts w:ascii="Times New Roman" w:eastAsia="Times New Roman" w:hAnsi="Times New Roman" w:cs="Times New Roman"/>
        </w:rPr>
        <w:t xml:space="preserve"> et al. 2025). Our stakeholder perspective—incorporating employees, labo</w:t>
      </w:r>
      <w:r>
        <w:rPr>
          <w:rFonts w:ascii="Times New Roman" w:eastAsia="Times New Roman" w:hAnsi="Times New Roman" w:cs="Times New Roman"/>
        </w:rPr>
        <w:t>r unions, and traditional actors—highlights important themes to investigate these links.</w:t>
      </w:r>
    </w:p>
    <w:p w14:paraId="000001AF"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noted earlier, the micro–macro distinction is not meant to imply a strict dichotomy or deny continuity across levels, but rather serves to highlight differences in </w:t>
      </w:r>
      <w:r>
        <w:rPr>
          <w:rFonts w:ascii="Times New Roman" w:eastAsia="Times New Roman" w:hAnsi="Times New Roman" w:cs="Times New Roman"/>
        </w:rPr>
        <w:t>the coordination, scalability, and governance of environmental sustainability interventions. The distinction is a deliberate simplification, adopted for agenda-setting purposes, helping identify which intervention pathways have been explored and where gaps</w:t>
      </w:r>
      <w:r>
        <w:rPr>
          <w:rFonts w:ascii="Times New Roman" w:eastAsia="Times New Roman" w:hAnsi="Times New Roman" w:cs="Times New Roman"/>
        </w:rPr>
        <w:t xml:space="preserve"> remain. Future research could adopt more granular classifications that capture the full range of actors along this continuum.</w:t>
      </w:r>
    </w:p>
    <w:p w14:paraId="000001B0"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As acknowledged in the introduction of the framework, there is substantial heterogeneity in the roles and motivations of actors b</w:t>
      </w:r>
      <w:r>
        <w:rPr>
          <w:rFonts w:ascii="Times New Roman" w:eastAsia="Times New Roman" w:hAnsi="Times New Roman" w:cs="Times New Roman"/>
        </w:rPr>
        <w:t xml:space="preserve">oth within and across quadrants. Despite this diversity, we demonstrate that examining these interactions through a micro–macro retailing lens is valuable. </w:t>
      </w:r>
      <w:r>
        <w:rPr>
          <w:rFonts w:ascii="Times New Roman" w:eastAsia="Times New Roman" w:hAnsi="Times New Roman" w:cs="Times New Roman"/>
        </w:rPr>
        <w:lastRenderedPageBreak/>
        <w:t>This perspective allows the framework to reveal how the effectiveness of sustainability intervention</w:t>
      </w:r>
      <w:r>
        <w:rPr>
          <w:rFonts w:ascii="Times New Roman" w:eastAsia="Times New Roman" w:hAnsi="Times New Roman" w:cs="Times New Roman"/>
        </w:rPr>
        <w:t>s depends on the specific focal relationships among stakeholders. Future research applying this framework should account for such heterogeneity by broadening the range of considered outcomes and interventions and by conducting more granular, context-sensit</w:t>
      </w:r>
      <w:r>
        <w:rPr>
          <w:rFonts w:ascii="Times New Roman" w:eastAsia="Times New Roman" w:hAnsi="Times New Roman" w:cs="Times New Roman"/>
        </w:rPr>
        <w:t>ive analyses.</w:t>
      </w:r>
    </w:p>
    <w:p w14:paraId="000001B1" w14:textId="77777777" w:rsidR="00AB4CD0" w:rsidRDefault="004C12C0">
      <w:pPr>
        <w:spacing w:before="120" w:line="480" w:lineRule="auto"/>
        <w:ind w:firstLine="720"/>
        <w:jc w:val="both"/>
        <w:rPr>
          <w:rFonts w:ascii="Times New Roman" w:eastAsia="Times New Roman" w:hAnsi="Times New Roman" w:cs="Times New Roman"/>
        </w:rPr>
      </w:pPr>
      <w:sdt>
        <w:sdtPr>
          <w:tag w:val="goog_rdk_28"/>
          <w:id w:val="931854453"/>
        </w:sdtPr>
        <w:sdtEndPr/>
        <w:sdtContent>
          <w:r>
            <w:rPr>
              <w:rFonts w:ascii="Cardo" w:eastAsia="Cardo" w:hAnsi="Cardo" w:cs="Cardo"/>
            </w:rPr>
            <w:t xml:space="preserve">The first stage of our proposed framework focuses on the dyadic relationships between micro and macro actors, but more complex and multi-directional chains (e.g., </w:t>
          </w:r>
          <w:proofErr w:type="spellStart"/>
          <w:r>
            <w:rPr>
              <w:rFonts w:ascii="Cardo" w:eastAsia="Cardo" w:hAnsi="Cardo" w:cs="Cardo"/>
            </w:rPr>
            <w:t>micro→macro→macro</w:t>
          </w:r>
          <w:proofErr w:type="spellEnd"/>
          <w:r>
            <w:rPr>
              <w:rFonts w:ascii="Cardo" w:eastAsia="Cardo" w:hAnsi="Cardo" w:cs="Cardo"/>
            </w:rPr>
            <w:t xml:space="preserve">) can be unpacked into their basic dyadic </w:t>
          </w:r>
        </w:sdtContent>
      </w:sdt>
      <w:r>
        <w:rPr>
          <w:rFonts w:ascii="Times New Roman" w:eastAsia="Times New Roman" w:hAnsi="Times New Roman" w:cs="Times New Roman"/>
        </w:rPr>
        <w:t>components. We ack</w:t>
      </w:r>
      <w:r>
        <w:rPr>
          <w:rFonts w:ascii="Times New Roman" w:eastAsia="Times New Roman" w:hAnsi="Times New Roman" w:cs="Times New Roman"/>
        </w:rPr>
        <w:t>nowledge that alternative views conceptualize marketing interactions as reciprocal exchange processes, in which roles are fluid and influence is bidirectional. In addition, it is important to highlight that the source–target and micro–macro distinctions ar</w:t>
      </w:r>
      <w:r>
        <w:rPr>
          <w:rFonts w:ascii="Times New Roman" w:eastAsia="Times New Roman" w:hAnsi="Times New Roman" w:cs="Times New Roman"/>
        </w:rPr>
        <w:t>e intended as analytical devices to identify intervention leverage points within retail systems, rather than as claims about the ontological nature of exchange. Building on this work, future applications of this framework can map out the cumulative effects</w:t>
      </w:r>
      <w:r>
        <w:rPr>
          <w:rFonts w:ascii="Times New Roman" w:eastAsia="Times New Roman" w:hAnsi="Times New Roman" w:cs="Times New Roman"/>
        </w:rPr>
        <w:t xml:space="preserve"> of higher-order chains to identify paths that are highly feasible or manage to transmit high impact across its entirety. </w:t>
      </w:r>
    </w:p>
    <w:p w14:paraId="000001B2"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We also recognize that interactions between source and target can range from adversarial to cooperative, depending on the context, sh</w:t>
      </w:r>
      <w:r>
        <w:rPr>
          <w:rFonts w:ascii="Times New Roman" w:eastAsia="Times New Roman" w:hAnsi="Times New Roman" w:cs="Times New Roman"/>
        </w:rPr>
        <w:t>aped by power asymmetries, political conflict, or alignment of incentives. For example, consumers may collectively resist sustainability interventions that impose costs on them without adequate supporting infrastructure, while platform-driven standards may</w:t>
      </w:r>
      <w:r>
        <w:rPr>
          <w:rFonts w:ascii="Times New Roman" w:eastAsia="Times New Roman" w:hAnsi="Times New Roman" w:cs="Times New Roman"/>
        </w:rPr>
        <w:t xml:space="preserve"> achieve rapid supplier compliance by leveraging market access as a cooperative incentive and network effects. More generally, these dynamics most likely produce nonlinear relationships between intervention effort and outcomes: diminishing returns when ear</w:t>
      </w:r>
      <w:r>
        <w:rPr>
          <w:rFonts w:ascii="Times New Roman" w:eastAsia="Times New Roman" w:hAnsi="Times New Roman" w:cs="Times New Roman"/>
        </w:rPr>
        <w:t xml:space="preserve">ly efforts convert the most receptive actors first, leaving each subsequent unit of change costlier to </w:t>
      </w:r>
      <w:r>
        <w:rPr>
          <w:rFonts w:ascii="Times New Roman" w:eastAsia="Times New Roman" w:hAnsi="Times New Roman" w:cs="Times New Roman"/>
        </w:rPr>
        <w:lastRenderedPageBreak/>
        <w:t xml:space="preserve">achieve; and increasing returns when factors like network effects, whether functional or social, create self-reinforcing momentum as adoption scales up. </w:t>
      </w:r>
      <w:r>
        <w:rPr>
          <w:rFonts w:ascii="Times New Roman" w:eastAsia="Times New Roman" w:hAnsi="Times New Roman" w:cs="Times New Roman"/>
        </w:rPr>
        <w:t xml:space="preserve">Consequently, impact and feasibility are not static properties but dynamic outcomes conditioned by scale, timing, and the nature of the source–target relationship. </w:t>
      </w:r>
    </w:p>
    <w:p w14:paraId="000001B3"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further limitation lies in the current reliance on ordinal distinctions between high and </w:t>
      </w:r>
      <w:r>
        <w:rPr>
          <w:rFonts w:ascii="Times New Roman" w:eastAsia="Times New Roman" w:hAnsi="Times New Roman" w:cs="Times New Roman"/>
        </w:rPr>
        <w:t xml:space="preserve">low feasibility and impact. While more continuous measures of feasibility and impact are not widely available, greater transparency in emissions targets and reporting may enable such refinement in the future. </w:t>
      </w:r>
    </w:p>
    <w:p w14:paraId="000001B4" w14:textId="77777777" w:rsidR="00AB4CD0" w:rsidRDefault="004C12C0">
      <w:pPr>
        <w:spacing w:before="120" w:line="48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8.2. Future research directions </w:t>
      </w:r>
    </w:p>
    <w:p w14:paraId="000001B5"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Our framework identifies key gaps in the existing literature and outlines pathways to strengthen retailing’s contribution to environmental sustainability. Several high priority cross-cutting insights emerge across all quadrants. First, there is a clear nee</w:t>
      </w:r>
      <w:r>
        <w:rPr>
          <w:rFonts w:ascii="Times New Roman" w:eastAsia="Times New Roman" w:hAnsi="Times New Roman" w:cs="Times New Roman"/>
        </w:rPr>
        <w:t xml:space="preserve">d for more research in high-impact domains—such as transportation, meat consumption, and fashion—that are critical to achieving sustainability goals. </w:t>
      </w:r>
      <w:sdt>
        <w:sdtPr>
          <w:tag w:val="goog_rdk_29"/>
          <w:id w:val="1299192906"/>
        </w:sdtPr>
        <w:sdtEndPr/>
        <w:sdtContent>
          <w:r>
            <w:rPr>
              <w:rFonts w:ascii="Cardo" w:eastAsia="Cardo" w:hAnsi="Cardo" w:cs="Cardo"/>
            </w:rPr>
            <w:t xml:space="preserve">In particular, our framework reveals a notable shortage of interventions in the </w:t>
          </w:r>
          <w:proofErr w:type="spellStart"/>
          <w:r>
            <w:rPr>
              <w:rFonts w:ascii="Cardo" w:eastAsia="Cardo" w:hAnsi="Cardo" w:cs="Cardo"/>
            </w:rPr>
            <w:t>Micro→Macro</w:t>
          </w:r>
          <w:proofErr w:type="spellEnd"/>
          <w:r>
            <w:rPr>
              <w:rFonts w:ascii="Cardo" w:eastAsia="Cardo" w:hAnsi="Cardo" w:cs="Cardo"/>
            </w:rPr>
            <w:t xml:space="preserve"> quadrant that </w:t>
          </w:r>
          <w:r>
            <w:rPr>
              <w:rFonts w:ascii="Cardo" w:eastAsia="Cardo" w:hAnsi="Cardo" w:cs="Cardo"/>
            </w:rPr>
            <w:t xml:space="preserve">are both highly feasible and highly impactful. Future research may investigate whether there are interventions to fill this gap. </w:t>
          </w:r>
        </w:sdtContent>
      </w:sdt>
      <w:r>
        <w:rPr>
          <w:rFonts w:ascii="Times New Roman" w:eastAsia="Times New Roman" w:hAnsi="Times New Roman" w:cs="Times New Roman"/>
        </w:rPr>
        <w:t>Second, since the existing literature has largely focused on North America, Western Europe, and Australia, expanding to multi</w:t>
      </w:r>
      <w:r>
        <w:rPr>
          <w:rFonts w:ascii="Times New Roman" w:eastAsia="Times New Roman" w:hAnsi="Times New Roman" w:cs="Times New Roman"/>
        </w:rPr>
        <w:t>cultural and geographically diverse contexts is essential for identifying boundary conditions and developing interventions with broader—potentially global—relevance. Interventions like carbon labeling, information disclosure and carbon markets have the pot</w:t>
      </w:r>
      <w:r>
        <w:rPr>
          <w:rFonts w:ascii="Times New Roman" w:eastAsia="Times New Roman" w:hAnsi="Times New Roman" w:cs="Times New Roman"/>
        </w:rPr>
        <w:t>ential to transcend national boundaries if embedded internationally, as evidenced by initiatives like the European emission standards (</w:t>
      </w:r>
      <w:proofErr w:type="spellStart"/>
      <w:r>
        <w:rPr>
          <w:rFonts w:ascii="Times New Roman" w:eastAsia="Times New Roman" w:hAnsi="Times New Roman" w:cs="Times New Roman"/>
        </w:rPr>
        <w:t>Crippa</w:t>
      </w:r>
      <w:proofErr w:type="spellEnd"/>
      <w:r>
        <w:rPr>
          <w:rFonts w:ascii="Times New Roman" w:eastAsia="Times New Roman" w:hAnsi="Times New Roman" w:cs="Times New Roman"/>
        </w:rPr>
        <w:t xml:space="preserve"> et al. 2016). </w:t>
      </w:r>
    </w:p>
    <w:p w14:paraId="000001B6"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Third, to accurately assess environmental impacts, more field studies and natural experiments are r</w:t>
      </w:r>
      <w:r>
        <w:rPr>
          <w:rFonts w:ascii="Times New Roman" w:eastAsia="Times New Roman" w:hAnsi="Times New Roman" w:cs="Times New Roman"/>
        </w:rPr>
        <w:t>equired, particularly those involving macro-level actors in high-impact domains, to estimate both short- and long-term effects as well as potential interactions in real-world contexts. Critically, more work is also needed to better define feasibility indic</w:t>
      </w:r>
      <w:r>
        <w:rPr>
          <w:rFonts w:ascii="Times New Roman" w:eastAsia="Times New Roman" w:hAnsi="Times New Roman" w:cs="Times New Roman"/>
        </w:rPr>
        <w:t xml:space="preserve">ators, including the ability to influence consumer opinions and retail policy. </w:t>
      </w:r>
    </w:p>
    <w:p w14:paraId="000001B7"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Fourth, future research should explore more complex multi-actor and multi-stage processes by deconstructing them into dyadic links based on our framework. This approach can hel</w:t>
      </w:r>
      <w:r>
        <w:rPr>
          <w:rFonts w:ascii="Times New Roman" w:eastAsia="Times New Roman" w:hAnsi="Times New Roman" w:cs="Times New Roman"/>
        </w:rPr>
        <w:t>p identify high-leverage intervention pathways and offer deeper insights into the dynamics of these processes, including potential spillover and carryover effects that may amplify overall impact.</w:t>
      </w:r>
    </w:p>
    <w:p w14:paraId="000001B8"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Finally, we invite complementary future research that organi</w:t>
      </w:r>
      <w:r>
        <w:rPr>
          <w:rFonts w:ascii="Times New Roman" w:eastAsia="Times New Roman" w:hAnsi="Times New Roman" w:cs="Times New Roman"/>
        </w:rPr>
        <w:t>zes sustainability interventions using alternative analytical approaches, such as stakeholder-type × stakeholder-type interactions or network-based representations. We view such approaches as complementary to, rather than competing with, the intervention-o</w:t>
      </w:r>
      <w:r>
        <w:rPr>
          <w:rFonts w:ascii="Times New Roman" w:eastAsia="Times New Roman" w:hAnsi="Times New Roman" w:cs="Times New Roman"/>
        </w:rPr>
        <w:t>riented framework proposed here.</w:t>
      </w:r>
    </w:p>
    <w:p w14:paraId="000001B9" w14:textId="77777777" w:rsidR="00AB4CD0" w:rsidRDefault="004C12C0">
      <w:pPr>
        <w:spacing w:before="12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i/>
          <w:iCs/>
        </w:rPr>
        <w:t xml:space="preserve">Key future research questions for QI. </w:t>
      </w:r>
      <w:sdt>
        <w:sdtPr>
          <w:tag w:val="goog_rdk_30"/>
          <w:id w:val="-1425148539"/>
        </w:sdtPr>
        <w:sdtEndPr/>
        <w:sdtContent>
          <w:r>
            <w:rPr>
              <w:rFonts w:ascii="Cardo" w:eastAsia="Cardo" w:hAnsi="Cardo" w:cs="Cardo"/>
            </w:rPr>
            <w:t xml:space="preserve">A key challenge for </w:t>
          </w:r>
          <w:proofErr w:type="spellStart"/>
          <w:r>
            <w:rPr>
              <w:rFonts w:ascii="Cardo" w:eastAsia="Cardo" w:hAnsi="Cardo" w:cs="Cardo"/>
            </w:rPr>
            <w:t>micro→micro</w:t>
          </w:r>
          <w:proofErr w:type="spellEnd"/>
          <w:r>
            <w:rPr>
              <w:rFonts w:ascii="Cardo" w:eastAsia="Cardo" w:hAnsi="Cardo" w:cs="Cardo"/>
            </w:rPr>
            <w:t xml:space="preserve"> interventions is quantifying their impact, which would allow identification of the most effective approaches for fostering sustainable behavior. Beyond </w:t>
          </w:r>
          <w:r>
            <w:rPr>
              <w:rFonts w:ascii="Cardo" w:eastAsia="Cardo" w:hAnsi="Cardo" w:cs="Cardo"/>
            </w:rPr>
            <w:t>scalability, future work should examine how consumers can amplify the positive contagion of pro-environmental actions and under which conditions peer influence may backfire, generating reactance instead of compliance. While current research has largely cen</w:t>
          </w:r>
          <w:r>
            <w:rPr>
              <w:rFonts w:ascii="Cardo" w:eastAsia="Cardo" w:hAnsi="Cardo" w:cs="Cardo"/>
            </w:rPr>
            <w:t>tered on consumers and employees, expanding the scope to other micro actors, such as micro enterprises, could provide valuable insights.</w:t>
          </w:r>
        </w:sdtContent>
      </w:sdt>
    </w:p>
    <w:p w14:paraId="000001BA"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i/>
          <w:iCs/>
        </w:rPr>
        <w:lastRenderedPageBreak/>
        <w:t xml:space="preserve">Key future research questions for QII. </w:t>
      </w:r>
      <w:r>
        <w:rPr>
          <w:rFonts w:ascii="Times New Roman" w:eastAsia="Times New Roman" w:hAnsi="Times New Roman" w:cs="Times New Roman"/>
        </w:rPr>
        <w:t>Future studies should consider investigating the barriers for low-feasibility,</w:t>
      </w:r>
      <w:r>
        <w:rPr>
          <w:rFonts w:ascii="Times New Roman" w:eastAsia="Times New Roman" w:hAnsi="Times New Roman" w:cs="Times New Roman"/>
        </w:rPr>
        <w:t xml:space="preserve"> high-impact interventions, such as investments in public charging infrastructure, carbon taxes, and rebates for electric vehicle adoption. Also needed is work on the potential impact of other macro-level actors, such as consumer associations, NGOs, and ad</w:t>
      </w:r>
      <w:r>
        <w:rPr>
          <w:rFonts w:ascii="Times New Roman" w:eastAsia="Times New Roman" w:hAnsi="Times New Roman" w:cs="Times New Roman"/>
        </w:rPr>
        <w:t>vocacy groups, which have so far been overlooked in this space.</w:t>
      </w:r>
    </w:p>
    <w:p w14:paraId="000001BB" w14:textId="77777777" w:rsidR="00AB4CD0" w:rsidRDefault="004C12C0">
      <w:pPr>
        <w:spacing w:before="120" w:line="48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Key future research questions for QIII. </w:t>
      </w:r>
      <w:r>
        <w:rPr>
          <w:rFonts w:ascii="Times New Roman" w:eastAsia="Times New Roman" w:hAnsi="Times New Roman" w:cs="Times New Roman"/>
        </w:rPr>
        <w:t>Future research should seek more high impact interventions in this quadrant. With mass protests providing the most promising high impact measure, additi</w:t>
      </w:r>
      <w:r>
        <w:rPr>
          <w:rFonts w:ascii="Times New Roman" w:eastAsia="Times New Roman" w:hAnsi="Times New Roman" w:cs="Times New Roman"/>
        </w:rPr>
        <w:t>onal work should investigate how their feasibility can be increased. How can consumers (or other micro actors) most effectively engage governments and spark political change on sustainability business issues? This topic, critical for system change, sits at</w:t>
      </w:r>
      <w:r>
        <w:rPr>
          <w:rFonts w:ascii="Times New Roman" w:eastAsia="Times New Roman" w:hAnsi="Times New Roman" w:cs="Times New Roman"/>
        </w:rPr>
        <w:t xml:space="preserve"> the intersection of marketing and political science and is likely to have high impact as governments help set policy agendas. Marketing scholarship is best poised to </w:t>
      </w:r>
      <w:proofErr w:type="gramStart"/>
      <w:r>
        <w:rPr>
          <w:rFonts w:ascii="Times New Roman" w:eastAsia="Times New Roman" w:hAnsi="Times New Roman" w:cs="Times New Roman"/>
        </w:rPr>
        <w:t>make a contribution</w:t>
      </w:r>
      <w:proofErr w:type="gramEnd"/>
      <w:r>
        <w:rPr>
          <w:rFonts w:ascii="Times New Roman" w:eastAsia="Times New Roman" w:hAnsi="Times New Roman" w:cs="Times New Roman"/>
        </w:rPr>
        <w:t xml:space="preserve"> here by answering questions like </w:t>
      </w:r>
      <w:r>
        <w:rPr>
          <w:rFonts w:ascii="Times New Roman" w:eastAsia="Times New Roman" w:hAnsi="Times New Roman" w:cs="Times New Roman"/>
          <w:i/>
          <w:iCs/>
        </w:rPr>
        <w:t>What is the effect of consumer/corpo</w:t>
      </w:r>
      <w:r>
        <w:rPr>
          <w:rFonts w:ascii="Times New Roman" w:eastAsia="Times New Roman" w:hAnsi="Times New Roman" w:cs="Times New Roman"/>
          <w:i/>
          <w:iCs/>
        </w:rPr>
        <w:t>rate collaborations to influence political actors to make environmental changes?</w:t>
      </w:r>
    </w:p>
    <w:p w14:paraId="000001BC"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i/>
          <w:iCs/>
        </w:rPr>
        <w:t xml:space="preserve">Key future research questions for QIV. </w:t>
      </w:r>
      <w:sdt>
        <w:sdtPr>
          <w:tag w:val="goog_rdk_31"/>
          <w:id w:val="1337873185"/>
        </w:sdtPr>
        <w:sdtEndPr/>
        <w:sdtContent>
          <w:r>
            <w:rPr>
              <w:rFonts w:ascii="Cardo" w:eastAsia="Cardo" w:hAnsi="Cardo" w:cs="Cardo"/>
            </w:rPr>
            <w:t xml:space="preserve">The </w:t>
          </w:r>
          <w:proofErr w:type="spellStart"/>
          <w:r>
            <w:rPr>
              <w:rFonts w:ascii="Cardo" w:eastAsia="Cardo" w:hAnsi="Cardo" w:cs="Cardo"/>
            </w:rPr>
            <w:t>Macro→Macro</w:t>
          </w:r>
          <w:proofErr w:type="spellEnd"/>
          <w:r>
            <w:rPr>
              <w:rFonts w:ascii="Cardo" w:eastAsia="Cardo" w:hAnsi="Cardo" w:cs="Cardo"/>
            </w:rPr>
            <w:t xml:space="preserve"> quadrant remains a very important yet largely understudied area in marketing scholarship, providing a large number of hi</w:t>
          </w:r>
          <w:r>
            <w:rPr>
              <w:rFonts w:ascii="Cardo" w:eastAsia="Cardo" w:hAnsi="Cardo" w:cs="Cardo"/>
            </w:rPr>
            <w:t>gh impact interventions of low and high feasibility. Significant potential lies in exploring how collaborations between large macro actors (private or public) can drive emissions reductions and foster more sustainable behaviors. For example, future work sh</w:t>
          </w:r>
          <w:r>
            <w:rPr>
              <w:rFonts w:ascii="Cardo" w:eastAsia="Cardo" w:hAnsi="Cardo" w:cs="Cardo"/>
            </w:rPr>
            <w:t>ould seek to understand how corporate partnerships can be designed to promote all parties (e.g., seller and supplier), holding each other accountable for sustainable practices. In addition, while some research has focused on the effect of governments on co</w:t>
          </w:r>
          <w:r>
            <w:rPr>
              <w:rFonts w:ascii="Cardo" w:eastAsia="Cardo" w:hAnsi="Cardo" w:cs="Cardo"/>
            </w:rPr>
            <w:t xml:space="preserve">rporations, there isn’t enough </w:t>
          </w:r>
          <w:r>
            <w:rPr>
              <w:rFonts w:ascii="Cardo" w:eastAsia="Cardo" w:hAnsi="Cardo" w:cs="Cardo"/>
            </w:rPr>
            <w:lastRenderedPageBreak/>
            <w:t xml:space="preserve">empirical research on how corporations can effectively respond to green legislation. Lastly, while multi-national treaties exist, little research has sought to discuss the procedures by which these treaties could be improved </w:t>
          </w:r>
          <w:r>
            <w:rPr>
              <w:rFonts w:ascii="Cardo" w:eastAsia="Cardo" w:hAnsi="Cardo" w:cs="Cardo"/>
            </w:rPr>
            <w:t xml:space="preserve">upon and replicated. </w:t>
          </w:r>
        </w:sdtContent>
      </w:sdt>
    </w:p>
    <w:p w14:paraId="000001BD" w14:textId="77777777" w:rsidR="00AB4CD0" w:rsidRDefault="004C12C0">
      <w:pPr>
        <w:spacing w:before="12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Table 4 provides a summary of the specific research questions and avenues for future research stemming from this framework. </w:t>
      </w:r>
    </w:p>
    <w:p w14:paraId="000001BE" w14:textId="77777777" w:rsidR="00AB4CD0" w:rsidRDefault="00AB4CD0">
      <w:pPr>
        <w:spacing w:before="120" w:line="480" w:lineRule="auto"/>
        <w:jc w:val="both"/>
        <w:rPr>
          <w:rFonts w:ascii="Times New Roman" w:eastAsia="Times New Roman" w:hAnsi="Times New Roman" w:cs="Times New Roman"/>
        </w:rPr>
      </w:pPr>
    </w:p>
    <w:p w14:paraId="000001BF" w14:textId="77777777" w:rsidR="00AB4CD0" w:rsidRDefault="004C12C0">
      <w:pPr>
        <w:pStyle w:val="Heading2"/>
        <w:spacing w:before="0" w:line="480" w:lineRule="auto"/>
        <w:jc w:val="center"/>
        <w:rPr>
          <w:b/>
          <w:bCs/>
        </w:rPr>
      </w:pPr>
      <w:bookmarkStart w:id="3" w:name="_heading=h.p858smt8lyki" w:colFirst="0" w:colLast="0"/>
      <w:bookmarkEnd w:id="3"/>
      <w:r>
        <w:rPr>
          <w:rFonts w:ascii="Times New Roman" w:eastAsia="Times New Roman" w:hAnsi="Times New Roman" w:cs="Times New Roman"/>
          <w:b/>
          <w:bCs/>
          <w:color w:val="000000"/>
          <w:sz w:val="24"/>
          <w:szCs w:val="24"/>
        </w:rPr>
        <w:t xml:space="preserve">Table 4: Research Directions/Avenues Stemming </w:t>
      </w:r>
      <w:proofErr w:type="gramStart"/>
      <w:r>
        <w:rPr>
          <w:rFonts w:ascii="Times New Roman" w:eastAsia="Times New Roman" w:hAnsi="Times New Roman" w:cs="Times New Roman"/>
          <w:b/>
          <w:bCs/>
          <w:color w:val="000000"/>
          <w:sz w:val="24"/>
          <w:szCs w:val="24"/>
        </w:rPr>
        <w:t>From</w:t>
      </w:r>
      <w:proofErr w:type="gramEnd"/>
      <w:r>
        <w:rPr>
          <w:rFonts w:ascii="Times New Roman" w:eastAsia="Times New Roman" w:hAnsi="Times New Roman" w:cs="Times New Roman"/>
          <w:b/>
          <w:bCs/>
          <w:color w:val="000000"/>
          <w:sz w:val="24"/>
          <w:szCs w:val="24"/>
        </w:rPr>
        <w:t xml:space="preserve"> The Framework</w:t>
      </w:r>
    </w:p>
    <w:tbl>
      <w:tblPr>
        <w:tblStyle w:val="af9"/>
        <w:tblW w:w="10080" w:type="dxa"/>
        <w:tblBorders>
          <w:top w:val="nil"/>
          <w:left w:val="nil"/>
          <w:bottom w:val="nil"/>
          <w:right w:val="nil"/>
          <w:insideH w:val="nil"/>
          <w:insideV w:val="nil"/>
        </w:tblBorders>
        <w:tblLayout w:type="fixed"/>
        <w:tblLook w:val="0600" w:firstRow="0" w:lastRow="0" w:firstColumn="0" w:lastColumn="0" w:noHBand="1" w:noVBand="1"/>
      </w:tblPr>
      <w:tblGrid>
        <w:gridCol w:w="5040"/>
        <w:gridCol w:w="5040"/>
      </w:tblGrid>
      <w:tr w:rsidR="00AB4CD0" w14:paraId="4C463D47" w14:textId="77777777">
        <w:trPr>
          <w:trHeight w:val="444"/>
        </w:trPr>
        <w:tc>
          <w:tcPr>
            <w:tcW w:w="10080" w:type="dxa"/>
            <w:gridSpan w:val="2"/>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00001C0" w14:textId="77777777" w:rsidR="00AB4CD0" w:rsidRDefault="004C12C0">
            <w:pPr>
              <w:spacing w:before="120" w:line="480" w:lineRule="auto"/>
              <w:ind w:firstLine="72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General Research Questions (across quadrants)</w:t>
            </w:r>
          </w:p>
        </w:tc>
      </w:tr>
      <w:tr w:rsidR="00AB4CD0" w14:paraId="3DA9AD4D" w14:textId="77777777">
        <w:trPr>
          <w:trHeight w:val="444"/>
        </w:trPr>
        <w:tc>
          <w:tcPr>
            <w:tcW w:w="10080" w:type="dxa"/>
            <w:gridSpan w:val="2"/>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00001C6" w14:textId="77777777" w:rsidR="00AB4CD0" w:rsidRDefault="004C12C0">
            <w:pPr>
              <w:numPr>
                <w:ilvl w:val="0"/>
                <w:numId w:val="1"/>
              </w:num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Prioritize research and interventions in high-impact domains critical to environmental sustainability goal (e.g., </w:t>
            </w:r>
            <w:proofErr w:type="gramStart"/>
            <w:r>
              <w:rPr>
                <w:rFonts w:ascii="Times New Roman" w:eastAsia="Times New Roman" w:hAnsi="Times New Roman" w:cs="Times New Roman"/>
                <w:sz w:val="20"/>
                <w:szCs w:val="20"/>
              </w:rPr>
              <w:t>transportation,  energy</w:t>
            </w:r>
            <w:proofErr w:type="gramEnd"/>
            <w:r>
              <w:rPr>
                <w:rFonts w:ascii="Times New Roman" w:eastAsia="Times New Roman" w:hAnsi="Times New Roman" w:cs="Times New Roman"/>
                <w:sz w:val="20"/>
                <w:szCs w:val="20"/>
              </w:rPr>
              <w:t xml:space="preserve"> consumption, meat consumption, and fashion). </w:t>
            </w:r>
          </w:p>
          <w:p w14:paraId="000001C7" w14:textId="77777777" w:rsidR="00AB4CD0" w:rsidRDefault="004C12C0">
            <w:pPr>
              <w:numPr>
                <w:ilvl w:val="0"/>
                <w:numId w:val="1"/>
              </w:num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Expand studies to multicultural and geographically diverse contexts to identify boundary conditions and enhance generalizability.</w:t>
            </w:r>
          </w:p>
          <w:p w14:paraId="000001C8" w14:textId="77777777" w:rsidR="00AB4CD0" w:rsidRDefault="004C12C0">
            <w:pPr>
              <w:numPr>
                <w:ilvl w:val="0"/>
                <w:numId w:val="1"/>
              </w:num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Conduct more field studies and natural experiments with macro-level actors in high-impact domains to estimate short- and long-</w:t>
            </w:r>
            <w:r>
              <w:rPr>
                <w:rFonts w:ascii="Times New Roman" w:eastAsia="Times New Roman" w:hAnsi="Times New Roman" w:cs="Times New Roman"/>
                <w:sz w:val="20"/>
                <w:szCs w:val="20"/>
              </w:rPr>
              <w:t xml:space="preserve">term effects in real-world settings. </w:t>
            </w:r>
          </w:p>
          <w:p w14:paraId="000001C9" w14:textId="77777777" w:rsidR="00AB4CD0" w:rsidRDefault="004C12C0">
            <w:pPr>
              <w:numPr>
                <w:ilvl w:val="0"/>
                <w:numId w:val="1"/>
              </w:num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Further refine and operationalize indicators of feasibility.</w:t>
            </w:r>
            <w:r>
              <w:rPr>
                <w:rFonts w:ascii="Times New Roman" w:eastAsia="Times New Roman" w:hAnsi="Times New Roman" w:cs="Times New Roman"/>
                <w:sz w:val="20"/>
                <w:szCs w:val="20"/>
              </w:rPr>
              <w:br/>
            </w:r>
          </w:p>
          <w:p w14:paraId="000001CA" w14:textId="77777777" w:rsidR="00AB4CD0" w:rsidRDefault="004C12C0">
            <w:pPr>
              <w:numPr>
                <w:ilvl w:val="0"/>
                <w:numId w:val="1"/>
              </w:num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Examine complex multi-actor and multi-stage processes by decomposing them into dyadic links, including spillover and carryover effects.</w:t>
            </w:r>
          </w:p>
          <w:p w14:paraId="000001CB" w14:textId="77777777" w:rsidR="00AB4CD0" w:rsidRDefault="004C12C0">
            <w:pPr>
              <w:numPr>
                <w:ilvl w:val="0"/>
                <w:numId w:val="1"/>
              </w:num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Complement the frame</w:t>
            </w:r>
            <w:r>
              <w:rPr>
                <w:rFonts w:ascii="Times New Roman" w:eastAsia="Times New Roman" w:hAnsi="Times New Roman" w:cs="Times New Roman"/>
                <w:sz w:val="20"/>
                <w:szCs w:val="20"/>
              </w:rPr>
              <w:t>work with alternative analytical approaches, such as stakeholder-by-stakeholder interactions or network-based representations.</w:t>
            </w:r>
          </w:p>
          <w:p w14:paraId="000001CC" w14:textId="77777777" w:rsidR="00AB4CD0" w:rsidRDefault="00AB4CD0">
            <w:pPr>
              <w:spacing w:before="120"/>
              <w:jc w:val="both"/>
              <w:rPr>
                <w:rFonts w:ascii="Times New Roman" w:eastAsia="Times New Roman" w:hAnsi="Times New Roman" w:cs="Times New Roman"/>
                <w:sz w:val="20"/>
                <w:szCs w:val="20"/>
              </w:rPr>
            </w:pPr>
          </w:p>
        </w:tc>
      </w:tr>
      <w:tr w:rsidR="00AB4CD0" w14:paraId="316A3B04" w14:textId="77777777">
        <w:trPr>
          <w:trHeight w:val="444"/>
        </w:trPr>
        <w:tc>
          <w:tcPr>
            <w:tcW w:w="5040"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vAlign w:val="center"/>
          </w:tcPr>
          <w:p w14:paraId="000001D2"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32"/>
                <w:id w:val="501218010"/>
              </w:sdtPr>
              <w:sdtEndPr/>
              <w:sdtContent>
                <w:r>
                  <w:rPr>
                    <w:rFonts w:ascii="Cardo" w:eastAsia="Cardo" w:hAnsi="Cardo" w:cs="Cardo"/>
                    <w:b/>
                    <w:bCs/>
                    <w:sz w:val="20"/>
                    <w:szCs w:val="20"/>
                  </w:rPr>
                  <w:t xml:space="preserve"> Quadrant I: Micro → Micro</w:t>
                </w:r>
              </w:sdtContent>
            </w:sdt>
          </w:p>
        </w:tc>
        <w:tc>
          <w:tcPr>
            <w:tcW w:w="5040"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vAlign w:val="center"/>
          </w:tcPr>
          <w:p w14:paraId="000001D5"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33"/>
                <w:id w:val="-1486488443"/>
              </w:sdtPr>
              <w:sdtEndPr/>
              <w:sdtContent>
                <w:r>
                  <w:rPr>
                    <w:rFonts w:ascii="Cardo" w:eastAsia="Cardo" w:hAnsi="Cardo" w:cs="Cardo"/>
                    <w:b/>
                    <w:bCs/>
                    <w:sz w:val="20"/>
                    <w:szCs w:val="20"/>
                  </w:rPr>
                  <w:t xml:space="preserve"> Quadrant II: Macro → Micro</w:t>
                </w:r>
              </w:sdtContent>
            </w:sdt>
          </w:p>
        </w:tc>
      </w:tr>
      <w:tr w:rsidR="00AB4CD0" w14:paraId="5366CC56" w14:textId="77777777">
        <w:trPr>
          <w:trHeight w:val="240"/>
        </w:trPr>
        <w:tc>
          <w:tcPr>
            <w:tcW w:w="5040" w:type="dxa"/>
            <w:vMerge w:val="restart"/>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D8"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Expanding the scope to other micro actors, such as micro enterprises, could provide valuable insights.</w:t>
            </w:r>
          </w:p>
          <w:p w14:paraId="000001D9"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Quantify intervention impacts to identify the most effective strategies for promoting environmentally sustainable behavior.</w:t>
            </w:r>
          </w:p>
          <w:p w14:paraId="000001DA"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Assess scalability across con</w:t>
            </w:r>
            <w:r>
              <w:rPr>
                <w:rFonts w:ascii="Times New Roman" w:eastAsia="Times New Roman" w:hAnsi="Times New Roman" w:cs="Times New Roman"/>
                <w:sz w:val="20"/>
                <w:szCs w:val="20"/>
              </w:rPr>
              <w:t>texts and populations.</w:t>
            </w:r>
          </w:p>
          <w:p w14:paraId="000001DB"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Examine when peer influence amplifies pro-environmental behavior and when it backfires, generating reactance.</w:t>
            </w:r>
          </w:p>
        </w:tc>
        <w:tc>
          <w:tcPr>
            <w:tcW w:w="5040" w:type="dxa"/>
            <w:vMerge w:val="restart"/>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DE"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Investigate barriers for low-feasibility, high-impact interventions, such as EV charging infrastructure and political resis</w:t>
            </w:r>
            <w:r>
              <w:rPr>
                <w:rFonts w:ascii="Times New Roman" w:eastAsia="Times New Roman" w:hAnsi="Times New Roman" w:cs="Times New Roman"/>
                <w:sz w:val="20"/>
                <w:szCs w:val="20"/>
              </w:rPr>
              <w:t>tance.</w:t>
            </w:r>
          </w:p>
          <w:p w14:paraId="000001DF"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Examine the indirect effects of interventions targeting micro-level agents, including spillover effects.</w:t>
            </w:r>
          </w:p>
          <w:p w14:paraId="000001E0"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key considerations for macro-level actors (e.g., policymakers or platforms) when introducing standards or labeling schemes to drive cro</w:t>
            </w:r>
            <w:r>
              <w:rPr>
                <w:rFonts w:ascii="Times New Roman" w:eastAsia="Times New Roman" w:hAnsi="Times New Roman" w:cs="Times New Roman"/>
                <w:sz w:val="20"/>
                <w:szCs w:val="20"/>
              </w:rPr>
              <w:t>ss-domain change.</w:t>
            </w:r>
          </w:p>
          <w:p w14:paraId="000001E1"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Extend research to underexamined macro-level actors, such as consumer associations, NGOs, and advocacy groups.</w:t>
            </w:r>
          </w:p>
          <w:p w14:paraId="000001E2" w14:textId="77777777" w:rsidR="00AB4CD0" w:rsidRDefault="00AB4CD0">
            <w:pPr>
              <w:spacing w:before="120"/>
              <w:ind w:left="720"/>
              <w:jc w:val="both"/>
              <w:rPr>
                <w:rFonts w:ascii="Times New Roman" w:eastAsia="Times New Roman" w:hAnsi="Times New Roman" w:cs="Times New Roman"/>
                <w:sz w:val="20"/>
                <w:szCs w:val="20"/>
              </w:rPr>
            </w:pPr>
          </w:p>
        </w:tc>
      </w:tr>
      <w:tr w:rsidR="00AB4CD0" w14:paraId="29B9EED0" w14:textId="77777777">
        <w:trPr>
          <w:trHeight w:val="1935"/>
        </w:trPr>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E5" w14:textId="77777777" w:rsidR="00AB4CD0" w:rsidRDefault="00AB4CD0">
            <w:pPr>
              <w:rPr>
                <w:rFonts w:ascii="Times New Roman" w:eastAsia="Times New Roman" w:hAnsi="Times New Roman" w:cs="Times New Roman"/>
                <w:b/>
                <w:bCs/>
                <w:sz w:val="16"/>
                <w:szCs w:val="16"/>
              </w:rPr>
            </w:pPr>
          </w:p>
        </w:tc>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E8" w14:textId="77777777" w:rsidR="00AB4CD0" w:rsidRDefault="00AB4CD0">
            <w:pPr>
              <w:rPr>
                <w:rFonts w:ascii="Times New Roman" w:eastAsia="Times New Roman" w:hAnsi="Times New Roman" w:cs="Times New Roman"/>
                <w:sz w:val="16"/>
                <w:szCs w:val="16"/>
              </w:rPr>
            </w:pPr>
          </w:p>
        </w:tc>
      </w:tr>
      <w:tr w:rsidR="00AB4CD0" w14:paraId="5D0B66CB" w14:textId="77777777" w:rsidTr="006710D8">
        <w:trPr>
          <w:trHeight w:val="759"/>
        </w:trPr>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EB" w14:textId="5F8AB5DB" w:rsidR="00AB4CD0" w:rsidRDefault="00AB4CD0">
            <w:pPr>
              <w:rPr>
                <w:rFonts w:ascii="Times New Roman" w:eastAsia="Times New Roman" w:hAnsi="Times New Roman" w:cs="Times New Roman"/>
                <w:b/>
                <w:bCs/>
                <w:sz w:val="16"/>
                <w:szCs w:val="16"/>
              </w:rPr>
            </w:pPr>
          </w:p>
        </w:tc>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EE" w14:textId="77777777" w:rsidR="00AB4CD0" w:rsidRDefault="00AB4CD0">
            <w:pPr>
              <w:rPr>
                <w:rFonts w:ascii="Times New Roman" w:eastAsia="Times New Roman" w:hAnsi="Times New Roman" w:cs="Times New Roman"/>
                <w:sz w:val="16"/>
                <w:szCs w:val="16"/>
              </w:rPr>
            </w:pPr>
          </w:p>
        </w:tc>
      </w:tr>
      <w:tr w:rsidR="00AB4CD0" w14:paraId="197373A8" w14:textId="77777777">
        <w:trPr>
          <w:trHeight w:val="360"/>
        </w:trPr>
        <w:tc>
          <w:tcPr>
            <w:tcW w:w="5040"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00001F1" w14:textId="62F802A7" w:rsidR="00AB4CD0" w:rsidRDefault="004C12C0">
            <w:pPr>
              <w:spacing w:line="480" w:lineRule="auto"/>
              <w:jc w:val="center"/>
              <w:rPr>
                <w:rFonts w:ascii="Times New Roman" w:eastAsia="Times New Roman" w:hAnsi="Times New Roman" w:cs="Times New Roman"/>
                <w:b/>
                <w:bCs/>
                <w:sz w:val="16"/>
                <w:szCs w:val="16"/>
              </w:rPr>
            </w:pPr>
            <w:sdt>
              <w:sdtPr>
                <w:tag w:val="goog_rdk_35"/>
                <w:id w:val="1829153840"/>
              </w:sdtPr>
              <w:sdtEndPr/>
              <w:sdtContent>
                <w:r>
                  <w:rPr>
                    <w:rFonts w:ascii="Cardo" w:eastAsia="Cardo" w:hAnsi="Cardo" w:cs="Cardo"/>
                    <w:b/>
                    <w:bCs/>
                    <w:sz w:val="20"/>
                    <w:szCs w:val="20"/>
                  </w:rPr>
                  <w:t xml:space="preserve"> Quadrant III: Micro → Macro</w:t>
                </w:r>
              </w:sdtContent>
            </w:sdt>
          </w:p>
        </w:tc>
        <w:tc>
          <w:tcPr>
            <w:tcW w:w="5040"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00001F4" w14:textId="77777777" w:rsidR="00AB4CD0" w:rsidRDefault="004C12C0">
            <w:pPr>
              <w:spacing w:line="480" w:lineRule="auto"/>
              <w:jc w:val="center"/>
              <w:rPr>
                <w:rFonts w:ascii="Times New Roman" w:eastAsia="Times New Roman" w:hAnsi="Times New Roman" w:cs="Times New Roman"/>
                <w:b/>
                <w:bCs/>
                <w:sz w:val="16"/>
                <w:szCs w:val="16"/>
              </w:rPr>
            </w:pPr>
            <w:sdt>
              <w:sdtPr>
                <w:tag w:val="goog_rdk_36"/>
                <w:id w:val="1993423861"/>
              </w:sdtPr>
              <w:sdtEndPr/>
              <w:sdtContent>
                <w:r>
                  <w:rPr>
                    <w:rFonts w:ascii="Cardo" w:eastAsia="Cardo" w:hAnsi="Cardo" w:cs="Cardo"/>
                    <w:b/>
                    <w:bCs/>
                    <w:sz w:val="20"/>
                    <w:szCs w:val="20"/>
                  </w:rPr>
                  <w:t xml:space="preserve"> Quadrant IV: Macro → Macro</w:t>
                </w:r>
              </w:sdtContent>
            </w:sdt>
          </w:p>
        </w:tc>
      </w:tr>
      <w:tr w:rsidR="00AB4CD0" w14:paraId="7D28BBCF" w14:textId="77777777">
        <w:trPr>
          <w:trHeight w:val="350"/>
        </w:trPr>
        <w:tc>
          <w:tcPr>
            <w:tcW w:w="5040" w:type="dxa"/>
            <w:vMerge w:val="restart"/>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F7" w14:textId="77777777" w:rsidR="00AB4CD0" w:rsidRDefault="004C12C0">
            <w:pPr>
              <w:numPr>
                <w:ilvl w:val="0"/>
                <w:numId w:val="3"/>
              </w:num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additional high-impact interventions within this quadrant.</w:t>
            </w:r>
          </w:p>
          <w:p w14:paraId="000001F8" w14:textId="77777777" w:rsidR="00AB4CD0" w:rsidRDefault="004C12C0">
            <w:pPr>
              <w:numPr>
                <w:ilvl w:val="0"/>
                <w:numId w:val="3"/>
              </w:num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Examine mass protests as a high-impact mechanism and assess how their feasibility can be enhanced.</w:t>
            </w:r>
          </w:p>
          <w:p w14:paraId="000001F9"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Investigate how consumers and other micro-level actors can most effectively engage govern</w:t>
            </w:r>
            <w:r>
              <w:rPr>
                <w:rFonts w:ascii="Times New Roman" w:eastAsia="Times New Roman" w:hAnsi="Times New Roman" w:cs="Times New Roman"/>
                <w:sz w:val="20"/>
                <w:szCs w:val="20"/>
              </w:rPr>
              <w:t>ments and drive political change on sustainability issues.</w:t>
            </w:r>
          </w:p>
          <w:p w14:paraId="000001FA"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Foster interdisciplinary research at the intersection of marketing and political science.</w:t>
            </w:r>
          </w:p>
          <w:p w14:paraId="000001FB"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Assess the impact of consumer–corporate coalitions in influencing political actors and environmental policy</w:t>
            </w:r>
            <w:r>
              <w:rPr>
                <w:rFonts w:ascii="Times New Roman" w:eastAsia="Times New Roman" w:hAnsi="Times New Roman" w:cs="Times New Roman"/>
                <w:sz w:val="20"/>
                <w:szCs w:val="20"/>
              </w:rPr>
              <w:t>.</w:t>
            </w:r>
          </w:p>
          <w:p w14:paraId="000001FC" w14:textId="77777777" w:rsidR="00AB4CD0" w:rsidRDefault="00AB4CD0">
            <w:pPr>
              <w:pBdr>
                <w:top w:val="nil"/>
                <w:left w:val="nil"/>
                <w:bottom w:val="nil"/>
                <w:right w:val="nil"/>
                <w:between w:val="nil"/>
              </w:pBdr>
              <w:spacing w:before="120"/>
              <w:rPr>
                <w:rFonts w:ascii="Times New Roman" w:eastAsia="Times New Roman" w:hAnsi="Times New Roman" w:cs="Times New Roman"/>
                <w:sz w:val="20"/>
                <w:szCs w:val="20"/>
              </w:rPr>
            </w:pPr>
          </w:p>
        </w:tc>
        <w:tc>
          <w:tcPr>
            <w:tcW w:w="5040" w:type="dxa"/>
            <w:vMerge w:val="restart"/>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1FF" w14:textId="77777777" w:rsidR="00AB4CD0" w:rsidRDefault="004C12C0">
            <w:pPr>
              <w:numPr>
                <w:ilvl w:val="0"/>
                <w:numId w:val="3"/>
              </w:numPr>
              <w:pBdr>
                <w:top w:val="nil"/>
                <w:left w:val="nil"/>
                <w:bottom w:val="nil"/>
                <w:right w:val="nil"/>
                <w:between w:val="nil"/>
              </w:pBd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Address the large but understudied set of high-impact interventions across feasibility levels.</w:t>
            </w:r>
            <w:r>
              <w:rPr>
                <w:rFonts w:ascii="Times New Roman" w:eastAsia="Times New Roman" w:hAnsi="Times New Roman" w:cs="Times New Roman"/>
                <w:sz w:val="20"/>
                <w:szCs w:val="20"/>
              </w:rPr>
              <w:br/>
            </w:r>
          </w:p>
          <w:p w14:paraId="00000200" w14:textId="77777777" w:rsidR="00AB4CD0" w:rsidRDefault="004C12C0">
            <w:pPr>
              <w:numPr>
                <w:ilvl w:val="0"/>
                <w:numId w:val="3"/>
              </w:num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Explore collaborations among large macro-level actors, including public–private and corporate partnerships.</w:t>
            </w:r>
            <w:r>
              <w:rPr>
                <w:rFonts w:ascii="Times New Roman" w:eastAsia="Times New Roman" w:hAnsi="Times New Roman" w:cs="Times New Roman"/>
                <w:sz w:val="20"/>
                <w:szCs w:val="20"/>
              </w:rPr>
              <w:br/>
            </w:r>
          </w:p>
          <w:p w14:paraId="00000201" w14:textId="77777777" w:rsidR="00AB4CD0" w:rsidRDefault="004C12C0">
            <w:pPr>
              <w:numPr>
                <w:ilvl w:val="0"/>
                <w:numId w:val="3"/>
              </w:num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Examine how corporations effectively respond to and implement green legislation.</w:t>
            </w:r>
            <w:r>
              <w:rPr>
                <w:rFonts w:ascii="Times New Roman" w:eastAsia="Times New Roman" w:hAnsi="Times New Roman" w:cs="Times New Roman"/>
                <w:sz w:val="20"/>
                <w:szCs w:val="20"/>
              </w:rPr>
              <w:br/>
            </w:r>
          </w:p>
          <w:p w14:paraId="00000202" w14:textId="77777777" w:rsidR="00AB4CD0" w:rsidRDefault="004C12C0">
            <w:pPr>
              <w:numPr>
                <w:ilvl w:val="0"/>
                <w:numId w:val="3"/>
              </w:num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Investigate how multinational sustainability initiatives can be improved and scaled across contexts.</w:t>
            </w:r>
          </w:p>
        </w:tc>
      </w:tr>
      <w:tr w:rsidR="00AB4CD0" w14:paraId="1EB9F4DA" w14:textId="77777777">
        <w:trPr>
          <w:trHeight w:val="2654"/>
        </w:trPr>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205" w14:textId="77777777" w:rsidR="00AB4CD0" w:rsidRDefault="00AB4CD0">
            <w:pPr>
              <w:rPr>
                <w:rFonts w:ascii="Times New Roman" w:eastAsia="Times New Roman" w:hAnsi="Times New Roman" w:cs="Times New Roman"/>
                <w:b/>
                <w:bCs/>
                <w:sz w:val="16"/>
                <w:szCs w:val="16"/>
              </w:rPr>
            </w:pPr>
          </w:p>
        </w:tc>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208" w14:textId="77777777" w:rsidR="00AB4CD0" w:rsidRDefault="00AB4CD0">
            <w:pPr>
              <w:rPr>
                <w:rFonts w:ascii="Times New Roman" w:eastAsia="Times New Roman" w:hAnsi="Times New Roman" w:cs="Times New Roman"/>
                <w:b/>
                <w:bCs/>
                <w:sz w:val="16"/>
                <w:szCs w:val="16"/>
              </w:rPr>
            </w:pPr>
          </w:p>
        </w:tc>
      </w:tr>
      <w:tr w:rsidR="00AB4CD0" w14:paraId="5EF32463" w14:textId="77777777">
        <w:trPr>
          <w:trHeight w:val="184"/>
        </w:trPr>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20B" w14:textId="77777777" w:rsidR="00AB4CD0" w:rsidRDefault="00AB4CD0">
            <w:pPr>
              <w:rPr>
                <w:rFonts w:ascii="Times New Roman" w:eastAsia="Times New Roman" w:hAnsi="Times New Roman" w:cs="Times New Roman"/>
                <w:b/>
                <w:bCs/>
                <w:sz w:val="16"/>
                <w:szCs w:val="16"/>
              </w:rPr>
            </w:pPr>
          </w:p>
        </w:tc>
        <w:tc>
          <w:tcPr>
            <w:tcW w:w="5040"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20E" w14:textId="77777777" w:rsidR="00AB4CD0" w:rsidRDefault="00AB4CD0">
            <w:pPr>
              <w:rPr>
                <w:rFonts w:ascii="Times New Roman" w:eastAsia="Times New Roman" w:hAnsi="Times New Roman" w:cs="Times New Roman"/>
                <w:b/>
                <w:bCs/>
                <w:sz w:val="16"/>
                <w:szCs w:val="16"/>
              </w:rPr>
            </w:pPr>
          </w:p>
        </w:tc>
      </w:tr>
    </w:tbl>
    <w:p w14:paraId="00000211" w14:textId="77777777" w:rsidR="00AB4CD0" w:rsidRDefault="004C12C0">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iCs/>
          <w:sz w:val="20"/>
          <w:szCs w:val="20"/>
        </w:rPr>
        <w:t>Note</w:t>
      </w:r>
      <w:r>
        <w:rPr>
          <w:rFonts w:ascii="Times New Roman" w:eastAsia="Times New Roman" w:hAnsi="Times New Roman" w:cs="Times New Roman"/>
          <w:sz w:val="20"/>
          <w:szCs w:val="20"/>
        </w:rPr>
        <w:t xml:space="preserve">. This table summarizes key research directions, including research questions by stage 1 quadrants. We encourage future research to evaluate some of these questions using the stage </w:t>
      </w:r>
      <w:proofErr w:type="gramStart"/>
      <w:r>
        <w:rPr>
          <w:rFonts w:ascii="Times New Roman" w:eastAsia="Times New Roman" w:hAnsi="Times New Roman" w:cs="Times New Roman"/>
          <w:sz w:val="20"/>
          <w:szCs w:val="20"/>
        </w:rPr>
        <w:t>2  feasibility</w:t>
      </w:r>
      <w:proofErr w:type="gramEnd"/>
      <w:r>
        <w:rPr>
          <w:rFonts w:ascii="Times New Roman" w:eastAsia="Times New Roman" w:hAnsi="Times New Roman" w:cs="Times New Roman"/>
          <w:sz w:val="20"/>
          <w:szCs w:val="20"/>
        </w:rPr>
        <w:t>/impact framework. This approach can help set the research ag</w:t>
      </w:r>
      <w:r>
        <w:rPr>
          <w:rFonts w:ascii="Times New Roman" w:eastAsia="Times New Roman" w:hAnsi="Times New Roman" w:cs="Times New Roman"/>
          <w:sz w:val="20"/>
          <w:szCs w:val="20"/>
        </w:rPr>
        <w:t>enda for environmental sustainability in retail.</w:t>
      </w:r>
    </w:p>
    <w:p w14:paraId="00000212" w14:textId="77777777" w:rsidR="00AB4CD0" w:rsidRDefault="00AB4CD0">
      <w:pPr>
        <w:spacing w:line="480" w:lineRule="auto"/>
        <w:jc w:val="both"/>
        <w:rPr>
          <w:rFonts w:ascii="Times New Roman" w:eastAsia="Times New Roman" w:hAnsi="Times New Roman" w:cs="Times New Roman"/>
        </w:rPr>
      </w:pPr>
    </w:p>
    <w:p w14:paraId="00000213" w14:textId="77777777" w:rsidR="00AB4CD0" w:rsidRDefault="004C12C0">
      <w:pPr>
        <w:spacing w:before="120" w:line="480" w:lineRule="auto"/>
        <w:jc w:val="both"/>
        <w:rPr>
          <w:rFonts w:ascii="Times New Roman" w:eastAsia="Times New Roman" w:hAnsi="Times New Roman" w:cs="Times New Roman"/>
          <w:b/>
          <w:bCs/>
        </w:rPr>
      </w:pPr>
      <w:r>
        <w:rPr>
          <w:rFonts w:ascii="Times New Roman" w:eastAsia="Times New Roman" w:hAnsi="Times New Roman" w:cs="Times New Roman"/>
          <w:b/>
          <w:bCs/>
        </w:rPr>
        <w:t>9. Conclusion</w:t>
      </w:r>
    </w:p>
    <w:p w14:paraId="00000214" w14:textId="77777777" w:rsidR="00AB4CD0" w:rsidRDefault="004C12C0">
      <w:pPr>
        <w:spacing w:before="120" w:after="24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research advances a two-stage framework that provides a structured lens for mapping and synthesizing interventions aimed at achieving more sustainable outcomes in retailing. By adopting a full stakeholder perspective and evaluating interventions in te</w:t>
      </w:r>
      <w:r>
        <w:rPr>
          <w:rFonts w:ascii="Times New Roman" w:eastAsia="Times New Roman" w:hAnsi="Times New Roman" w:cs="Times New Roman"/>
        </w:rPr>
        <w:t xml:space="preserve">rms of both feasibility and environmental impact, the framework identifies dominant foci in the existing literature as well as critical gaps that offer promising avenues for future inquiry. For </w:t>
      </w:r>
      <w:proofErr w:type="gramStart"/>
      <w:r>
        <w:rPr>
          <w:rFonts w:ascii="Times New Roman" w:eastAsia="Times New Roman" w:hAnsi="Times New Roman" w:cs="Times New Roman"/>
          <w:color w:val="212121"/>
        </w:rPr>
        <w:t>example</w:t>
      </w:r>
      <w:proofErr w:type="gramEnd"/>
      <w:sdt>
        <w:sdtPr>
          <w:tag w:val="goog_rdk_37"/>
          <w:id w:val="871713110"/>
        </w:sdtPr>
        <w:sdtEndPr/>
        <w:sdtContent>
          <w:r>
            <w:rPr>
              <w:rFonts w:ascii="Cardo" w:eastAsia="Cardo" w:hAnsi="Cardo" w:cs="Cardo"/>
            </w:rPr>
            <w:t xml:space="preserve">, we find that most research concentrates on the </w:t>
          </w:r>
          <w:proofErr w:type="spellStart"/>
          <w:r>
            <w:rPr>
              <w:rFonts w:ascii="Cardo" w:eastAsia="Cardo" w:hAnsi="Cardo" w:cs="Cardo"/>
            </w:rPr>
            <w:t>Macro→</w:t>
          </w:r>
          <w:r>
            <w:rPr>
              <w:rFonts w:ascii="Cardo" w:eastAsia="Cardo" w:hAnsi="Cardo" w:cs="Cardo"/>
            </w:rPr>
            <w:t>Micro</w:t>
          </w:r>
          <w:proofErr w:type="spellEnd"/>
          <w:r>
            <w:rPr>
              <w:rFonts w:ascii="Cardo" w:eastAsia="Cardo" w:hAnsi="Cardo" w:cs="Cardo"/>
            </w:rPr>
            <w:t xml:space="preserve"> quadrant, with consumers as the primary micro actor studied, whereas interventions involving macro actors often carry greater potential for systemic impact. The framework contributes to future scholarship in retailing by (1) </w:t>
          </w:r>
          <w:r>
            <w:rPr>
              <w:rFonts w:ascii="Cardo" w:eastAsia="Cardo" w:hAnsi="Cardo" w:cs="Cardo"/>
            </w:rPr>
            <w:lastRenderedPageBreak/>
            <w:t>characterizing the intera</w:t>
          </w:r>
          <w:r>
            <w:rPr>
              <w:rFonts w:ascii="Cardo" w:eastAsia="Cardo" w:hAnsi="Cardo" w:cs="Cardo"/>
            </w:rPr>
            <w:t xml:space="preserve">ctions among retail actors and (2) evaluating the feasibility and impact of prospective interventions. Importantly, it underscores retailing’s potential to play a pivotal role in advancing environmentally sustainable consumption and production. </w:t>
          </w:r>
        </w:sdtContent>
      </w:sdt>
    </w:p>
    <w:p w14:paraId="00000215" w14:textId="77777777" w:rsidR="00AB4CD0" w:rsidRDefault="004C12C0">
      <w:pPr>
        <w:spacing w:before="240" w:after="240" w:line="480" w:lineRule="auto"/>
        <w:ind w:firstLine="720"/>
        <w:jc w:val="both"/>
        <w:rPr>
          <w:rFonts w:ascii="Times New Roman" w:eastAsia="Times New Roman" w:hAnsi="Times New Roman" w:cs="Times New Roman"/>
        </w:rPr>
      </w:pPr>
      <w:r>
        <w:rPr>
          <w:rFonts w:ascii="Times New Roman" w:eastAsia="Times New Roman" w:hAnsi="Times New Roman" w:cs="Times New Roman"/>
        </w:rPr>
        <w:t>Future r</w:t>
      </w:r>
      <w:r>
        <w:rPr>
          <w:rFonts w:ascii="Times New Roman" w:eastAsia="Times New Roman" w:hAnsi="Times New Roman" w:cs="Times New Roman"/>
        </w:rPr>
        <w:t>esearch should focus on expanding the scope beyond consumers to other micro actors, broadening the geographical and cultural scope of studies, conducting more field studies and natural experiments that assess the real-world impact, particularly in high-imp</w:t>
      </w:r>
      <w:r>
        <w:rPr>
          <w:rFonts w:ascii="Times New Roman" w:eastAsia="Times New Roman" w:hAnsi="Times New Roman" w:cs="Times New Roman"/>
        </w:rPr>
        <w:t>act domains such as transportation, food, and fashion. By systematically addressing these gaps, retailing scholarship can maximize its contribution to advancing environmental sustainability goals and ensure its continued relevance in tackling one of the mo</w:t>
      </w:r>
      <w:r>
        <w:rPr>
          <w:rFonts w:ascii="Times New Roman" w:eastAsia="Times New Roman" w:hAnsi="Times New Roman" w:cs="Times New Roman"/>
        </w:rPr>
        <w:t>st defining challenges of the 21st century.</w:t>
      </w:r>
    </w:p>
    <w:p w14:paraId="00000216" w14:textId="77777777" w:rsidR="00AB4CD0" w:rsidRDefault="00AB4CD0">
      <w:pPr>
        <w:spacing w:before="240" w:after="240" w:line="480" w:lineRule="auto"/>
        <w:jc w:val="both"/>
        <w:rPr>
          <w:rFonts w:ascii="Times New Roman" w:eastAsia="Times New Roman" w:hAnsi="Times New Roman" w:cs="Times New Roman"/>
        </w:rPr>
      </w:pPr>
    </w:p>
    <w:p w14:paraId="00000217" w14:textId="77777777" w:rsidR="00AB4CD0" w:rsidRDefault="004C12C0">
      <w:pPr>
        <w:spacing w:before="240" w:after="24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References </w:t>
      </w:r>
    </w:p>
    <w:p w14:paraId="00000218"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Abrahamse</w:t>
      </w:r>
      <w:proofErr w:type="spellEnd"/>
      <w:r>
        <w:rPr>
          <w:rFonts w:ascii="Times New Roman" w:eastAsia="Times New Roman" w:hAnsi="Times New Roman" w:cs="Times New Roman"/>
        </w:rPr>
        <w:t xml:space="preserve">, W., &amp; Steg, L. (2013). Social influence approaches to encourage resource conservation: A meta-analysis. </w:t>
      </w:r>
      <w:r>
        <w:rPr>
          <w:rFonts w:ascii="Times New Roman" w:eastAsia="Times New Roman" w:hAnsi="Times New Roman" w:cs="Times New Roman"/>
          <w:i/>
          <w:iCs/>
        </w:rPr>
        <w:t>Global Environmental Change, 23</w:t>
      </w:r>
      <w:r>
        <w:rPr>
          <w:rFonts w:ascii="Times New Roman" w:eastAsia="Times New Roman" w:hAnsi="Times New Roman" w:cs="Times New Roman"/>
        </w:rPr>
        <w:t>(6), 1773–1785.</w:t>
      </w:r>
    </w:p>
    <w:p w14:paraId="00000219" w14:textId="77777777" w:rsidR="00AB4CD0" w:rsidRDefault="004C12C0">
      <w:pPr>
        <w:spacing w:before="200"/>
        <w:ind w:left="360" w:hanging="360"/>
        <w:rPr>
          <w:rFonts w:ascii="Times New Roman" w:eastAsia="Times New Roman" w:hAnsi="Times New Roman" w:cs="Times New Roman"/>
          <w:i/>
          <w:iCs/>
        </w:rPr>
      </w:pPr>
      <w:r>
        <w:rPr>
          <w:rFonts w:ascii="Times New Roman" w:eastAsia="Times New Roman" w:hAnsi="Times New Roman" w:cs="Times New Roman"/>
        </w:rPr>
        <w:t>Adedoyin, F., Ozturk, I., Abubakar, I</w:t>
      </w:r>
      <w:r>
        <w:rPr>
          <w:rFonts w:ascii="Times New Roman" w:eastAsia="Times New Roman" w:hAnsi="Times New Roman" w:cs="Times New Roman"/>
        </w:rPr>
        <w:t xml:space="preserve">., </w:t>
      </w:r>
      <w:proofErr w:type="spellStart"/>
      <w:r>
        <w:rPr>
          <w:rFonts w:ascii="Times New Roman" w:eastAsia="Times New Roman" w:hAnsi="Times New Roman" w:cs="Times New Roman"/>
        </w:rPr>
        <w:t>Kumeka</w:t>
      </w:r>
      <w:proofErr w:type="spellEnd"/>
      <w:r>
        <w:rPr>
          <w:rFonts w:ascii="Times New Roman" w:eastAsia="Times New Roman" w:hAnsi="Times New Roman" w:cs="Times New Roman"/>
        </w:rPr>
        <w:t xml:space="preserve">, T., Folarin, O., &amp; </w:t>
      </w:r>
      <w:proofErr w:type="spellStart"/>
      <w:r>
        <w:rPr>
          <w:rFonts w:ascii="Times New Roman" w:eastAsia="Times New Roman" w:hAnsi="Times New Roman" w:cs="Times New Roman"/>
        </w:rPr>
        <w:t>Bekun</w:t>
      </w:r>
      <w:proofErr w:type="spellEnd"/>
      <w:r>
        <w:rPr>
          <w:rFonts w:ascii="Times New Roman" w:eastAsia="Times New Roman" w:hAnsi="Times New Roman" w:cs="Times New Roman"/>
        </w:rPr>
        <w:t>, F. V. (2020). Structural breaks in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emissions: Are they caused by climate change protests or other factors? </w:t>
      </w:r>
      <w:r>
        <w:rPr>
          <w:rFonts w:ascii="Times New Roman" w:eastAsia="Times New Roman" w:hAnsi="Times New Roman" w:cs="Times New Roman"/>
          <w:i/>
          <w:iCs/>
        </w:rPr>
        <w:t>Journal of Environmental Management, 266</w:t>
      </w:r>
      <w:r>
        <w:rPr>
          <w:rFonts w:ascii="Times New Roman" w:eastAsia="Times New Roman" w:hAnsi="Times New Roman" w:cs="Times New Roman"/>
        </w:rPr>
        <w:t>, 110628</w:t>
      </w:r>
      <w:r>
        <w:rPr>
          <w:rFonts w:ascii="Times New Roman" w:eastAsia="Times New Roman" w:hAnsi="Times New Roman" w:cs="Times New Roman"/>
          <w:i/>
          <w:iCs/>
        </w:rPr>
        <w:t>.</w:t>
      </w:r>
    </w:p>
    <w:p w14:paraId="0000021A"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Allcott</w:t>
      </w:r>
      <w:proofErr w:type="spellEnd"/>
      <w:r>
        <w:rPr>
          <w:rFonts w:ascii="Times New Roman" w:eastAsia="Times New Roman" w:hAnsi="Times New Roman" w:cs="Times New Roman"/>
        </w:rPr>
        <w:t xml:space="preserve">, H. (2011). Social norms and energy conservation. </w:t>
      </w:r>
      <w:r>
        <w:rPr>
          <w:rFonts w:ascii="Times New Roman" w:eastAsia="Times New Roman" w:hAnsi="Times New Roman" w:cs="Times New Roman"/>
          <w:i/>
          <w:iCs/>
        </w:rPr>
        <w:t>Journal of Public Economics</w:t>
      </w:r>
      <w:r>
        <w:rPr>
          <w:rFonts w:ascii="Times New Roman" w:eastAsia="Times New Roman" w:hAnsi="Times New Roman" w:cs="Times New Roman"/>
        </w:rPr>
        <w:t xml:space="preserve">, </w:t>
      </w:r>
      <w:r>
        <w:rPr>
          <w:rFonts w:ascii="Times New Roman" w:eastAsia="Times New Roman" w:hAnsi="Times New Roman" w:cs="Times New Roman"/>
          <w:i/>
          <w:iCs/>
        </w:rPr>
        <w:t>95</w:t>
      </w:r>
      <w:r>
        <w:rPr>
          <w:rFonts w:ascii="Times New Roman" w:eastAsia="Times New Roman" w:hAnsi="Times New Roman" w:cs="Times New Roman"/>
        </w:rPr>
        <w:t>(9-10), 1082–1095.</w:t>
      </w:r>
    </w:p>
    <w:p w14:paraId="0000021B"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Amazon. (2020, September 25). Amazon launches “Climate Pledge Friendly” program. https://www.aboutamazon.com/news/sustainability/amazon-launches-climate-pledge-friendly-program</w:t>
      </w:r>
    </w:p>
    <w:p w14:paraId="0000021C"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Barclay, P., &amp; </w:t>
      </w:r>
      <w:proofErr w:type="spellStart"/>
      <w:r>
        <w:rPr>
          <w:rFonts w:ascii="Times New Roman" w:eastAsia="Times New Roman" w:hAnsi="Times New Roman" w:cs="Times New Roman"/>
        </w:rPr>
        <w:t>Willer</w:t>
      </w:r>
      <w:proofErr w:type="spellEnd"/>
      <w:r>
        <w:rPr>
          <w:rFonts w:ascii="Times New Roman" w:eastAsia="Times New Roman" w:hAnsi="Times New Roman" w:cs="Times New Roman"/>
        </w:rPr>
        <w:t>, R. (20</w:t>
      </w:r>
      <w:r>
        <w:rPr>
          <w:rFonts w:ascii="Times New Roman" w:eastAsia="Times New Roman" w:hAnsi="Times New Roman" w:cs="Times New Roman"/>
        </w:rPr>
        <w:t xml:space="preserve">07). Partner choice creates competitive altruism in humans. </w:t>
      </w:r>
      <w:r>
        <w:rPr>
          <w:rFonts w:ascii="Times New Roman" w:eastAsia="Times New Roman" w:hAnsi="Times New Roman" w:cs="Times New Roman"/>
          <w:i/>
          <w:iCs/>
        </w:rPr>
        <w:t>Proceedings of the Royal Society B: Biological Sciences, 274</w:t>
      </w:r>
      <w:r>
        <w:rPr>
          <w:rFonts w:ascii="Times New Roman" w:eastAsia="Times New Roman" w:hAnsi="Times New Roman" w:cs="Times New Roman"/>
        </w:rPr>
        <w:t>(1610), 749–753.</w:t>
      </w:r>
    </w:p>
    <w:p w14:paraId="0000021D"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Blanco, C., Caro, F., &amp; Corbett, C. J. (2016). The state of supply chain carbon </w:t>
      </w:r>
      <w:proofErr w:type="spellStart"/>
      <w:r>
        <w:rPr>
          <w:rFonts w:ascii="Times New Roman" w:eastAsia="Times New Roman" w:hAnsi="Times New Roman" w:cs="Times New Roman"/>
        </w:rPr>
        <w:t>footprinting</w:t>
      </w:r>
      <w:proofErr w:type="spellEnd"/>
      <w:r>
        <w:rPr>
          <w:rFonts w:ascii="Times New Roman" w:eastAsia="Times New Roman" w:hAnsi="Times New Roman" w:cs="Times New Roman"/>
        </w:rPr>
        <w:t>: Analysis of CDP disclosur</w:t>
      </w:r>
      <w:r>
        <w:rPr>
          <w:rFonts w:ascii="Times New Roman" w:eastAsia="Times New Roman" w:hAnsi="Times New Roman" w:cs="Times New Roman"/>
        </w:rPr>
        <w:t xml:space="preserve">es by US firms. </w:t>
      </w:r>
      <w:r>
        <w:rPr>
          <w:rFonts w:ascii="Times New Roman" w:eastAsia="Times New Roman" w:hAnsi="Times New Roman" w:cs="Times New Roman"/>
          <w:i/>
          <w:iCs/>
        </w:rPr>
        <w:t>Journal of Cleaner Production, 135,</w:t>
      </w:r>
      <w:r>
        <w:rPr>
          <w:rFonts w:ascii="Times New Roman" w:eastAsia="Times New Roman" w:hAnsi="Times New Roman" w:cs="Times New Roman"/>
        </w:rPr>
        <w:t xml:space="preserve"> 1189–1197.</w:t>
      </w:r>
    </w:p>
    <w:p w14:paraId="0000021E" w14:textId="77777777" w:rsidR="00AB4CD0" w:rsidRDefault="004C12C0">
      <w:pPr>
        <w:widowControl w:val="0"/>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Bollinger, B., </w:t>
      </w:r>
      <w:proofErr w:type="spellStart"/>
      <w:r>
        <w:rPr>
          <w:rFonts w:ascii="Times New Roman" w:eastAsia="Times New Roman" w:hAnsi="Times New Roman" w:cs="Times New Roman"/>
        </w:rPr>
        <w:t>Gillingham</w:t>
      </w:r>
      <w:proofErr w:type="spellEnd"/>
      <w:r>
        <w:rPr>
          <w:rFonts w:ascii="Times New Roman" w:eastAsia="Times New Roman" w:hAnsi="Times New Roman" w:cs="Times New Roman"/>
        </w:rPr>
        <w:t xml:space="preserve">, K., Kirkpatrick, A. J., &amp; Sexton, S. (2022). Visibility and peer influence in durable good adoption. </w:t>
      </w:r>
      <w:r>
        <w:rPr>
          <w:rFonts w:ascii="Times New Roman" w:eastAsia="Times New Roman" w:hAnsi="Times New Roman" w:cs="Times New Roman"/>
          <w:i/>
          <w:iCs/>
        </w:rPr>
        <w:t>Marketing Science, 41</w:t>
      </w:r>
      <w:r>
        <w:rPr>
          <w:rFonts w:ascii="Times New Roman" w:eastAsia="Times New Roman" w:hAnsi="Times New Roman" w:cs="Times New Roman"/>
        </w:rPr>
        <w:t>(3), 453–476.</w:t>
      </w:r>
    </w:p>
    <w:p w14:paraId="0000021F" w14:textId="77777777" w:rsidR="00AB4CD0" w:rsidRDefault="004C12C0">
      <w:pPr>
        <w:spacing w:before="200"/>
        <w:ind w:left="360" w:hanging="360"/>
        <w:rPr>
          <w:rFonts w:ascii="Times New Roman" w:eastAsia="Times New Roman" w:hAnsi="Times New Roman" w:cs="Times New Roman"/>
        </w:rPr>
      </w:pPr>
      <w:r w:rsidRPr="006710D8">
        <w:rPr>
          <w:rFonts w:ascii="Times New Roman" w:eastAsia="Times New Roman" w:hAnsi="Times New Roman" w:cs="Times New Roman"/>
          <w:highlight w:val="white"/>
          <w:lang w:val="it-IT"/>
        </w:rPr>
        <w:lastRenderedPageBreak/>
        <w:t xml:space="preserve">Brandi, C., </w:t>
      </w:r>
      <w:proofErr w:type="spellStart"/>
      <w:r w:rsidRPr="006710D8">
        <w:rPr>
          <w:rFonts w:ascii="Times New Roman" w:eastAsia="Times New Roman" w:hAnsi="Times New Roman" w:cs="Times New Roman"/>
          <w:highlight w:val="white"/>
          <w:lang w:val="it-IT"/>
        </w:rPr>
        <w:t>Blümer</w:t>
      </w:r>
      <w:proofErr w:type="spellEnd"/>
      <w:r w:rsidRPr="006710D8">
        <w:rPr>
          <w:rFonts w:ascii="Times New Roman" w:eastAsia="Times New Roman" w:hAnsi="Times New Roman" w:cs="Times New Roman"/>
          <w:highlight w:val="white"/>
          <w:lang w:val="it-IT"/>
        </w:rPr>
        <w:t xml:space="preserve">, D., &amp; </w:t>
      </w:r>
      <w:proofErr w:type="spellStart"/>
      <w:r w:rsidRPr="006710D8">
        <w:rPr>
          <w:rFonts w:ascii="Times New Roman" w:eastAsia="Times New Roman" w:hAnsi="Times New Roman" w:cs="Times New Roman"/>
          <w:highlight w:val="white"/>
          <w:lang w:val="it-IT"/>
        </w:rPr>
        <w:t>Mori</w:t>
      </w:r>
      <w:r w:rsidRPr="006710D8">
        <w:rPr>
          <w:rFonts w:ascii="Times New Roman" w:eastAsia="Times New Roman" w:hAnsi="Times New Roman" w:cs="Times New Roman"/>
          <w:highlight w:val="white"/>
          <w:lang w:val="it-IT"/>
        </w:rPr>
        <w:t>n</w:t>
      </w:r>
      <w:proofErr w:type="spellEnd"/>
      <w:r w:rsidRPr="006710D8">
        <w:rPr>
          <w:rFonts w:ascii="Times New Roman" w:eastAsia="Times New Roman" w:hAnsi="Times New Roman" w:cs="Times New Roman"/>
          <w:highlight w:val="white"/>
          <w:lang w:val="it-IT"/>
        </w:rPr>
        <w:t xml:space="preserve">, J.-F. (2019). </w:t>
      </w:r>
      <w:r>
        <w:rPr>
          <w:rFonts w:ascii="Times New Roman" w:eastAsia="Times New Roman" w:hAnsi="Times New Roman" w:cs="Times New Roman"/>
          <w:highlight w:val="white"/>
        </w:rPr>
        <w:t>When do international treaties matter for domestic environmental legislation? </w:t>
      </w:r>
      <w:r>
        <w:rPr>
          <w:rFonts w:ascii="Times New Roman" w:eastAsia="Times New Roman" w:hAnsi="Times New Roman" w:cs="Times New Roman"/>
          <w:i/>
          <w:iCs/>
          <w:highlight w:val="white"/>
        </w:rPr>
        <w:t>Global Environmental Politics, 19</w:t>
      </w:r>
      <w:r>
        <w:rPr>
          <w:rFonts w:ascii="Times New Roman" w:eastAsia="Times New Roman" w:hAnsi="Times New Roman" w:cs="Times New Roman"/>
          <w:highlight w:val="white"/>
        </w:rPr>
        <w:t>(4), 14</w:t>
      </w:r>
      <w:r>
        <w:rPr>
          <w:rFonts w:ascii="Times New Roman" w:eastAsia="Times New Roman" w:hAnsi="Times New Roman" w:cs="Times New Roman"/>
        </w:rPr>
        <w:t>–</w:t>
      </w:r>
      <w:r>
        <w:rPr>
          <w:rFonts w:ascii="Times New Roman" w:eastAsia="Times New Roman" w:hAnsi="Times New Roman" w:cs="Times New Roman"/>
          <w:highlight w:val="white"/>
        </w:rPr>
        <w:t>44.</w:t>
      </w:r>
    </w:p>
    <w:p w14:paraId="00000220"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Brooks, J. S., &amp; Wilson, C. (2015). The influence of contextual cues on the perceived status of consumption-reducing behavior. </w:t>
      </w:r>
      <w:r>
        <w:rPr>
          <w:rFonts w:ascii="Times New Roman" w:eastAsia="Times New Roman" w:hAnsi="Times New Roman" w:cs="Times New Roman"/>
          <w:i/>
          <w:iCs/>
        </w:rPr>
        <w:t xml:space="preserve">Ecological Economics, 117, </w:t>
      </w:r>
      <w:r>
        <w:rPr>
          <w:rFonts w:ascii="Times New Roman" w:eastAsia="Times New Roman" w:hAnsi="Times New Roman" w:cs="Times New Roman"/>
        </w:rPr>
        <w:t>108–117.</w:t>
      </w:r>
    </w:p>
    <w:p w14:paraId="00000221"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Brown, A., </w:t>
      </w:r>
      <w:proofErr w:type="spellStart"/>
      <w:r>
        <w:rPr>
          <w:rFonts w:ascii="Times New Roman" w:eastAsia="Times New Roman" w:hAnsi="Times New Roman" w:cs="Times New Roman"/>
        </w:rPr>
        <w:t>Laubinger</w:t>
      </w:r>
      <w:proofErr w:type="spellEnd"/>
      <w:r>
        <w:rPr>
          <w:rFonts w:ascii="Times New Roman" w:eastAsia="Times New Roman" w:hAnsi="Times New Roman" w:cs="Times New Roman"/>
        </w:rPr>
        <w:t xml:space="preserve">, F., &amp; </w:t>
      </w:r>
      <w:proofErr w:type="spellStart"/>
      <w:r>
        <w:rPr>
          <w:rFonts w:ascii="Times New Roman" w:eastAsia="Times New Roman" w:hAnsi="Times New Roman" w:cs="Times New Roman"/>
        </w:rPr>
        <w:t>Börkey</w:t>
      </w:r>
      <w:proofErr w:type="spellEnd"/>
      <w:r>
        <w:rPr>
          <w:rFonts w:ascii="Times New Roman" w:eastAsia="Times New Roman" w:hAnsi="Times New Roman" w:cs="Times New Roman"/>
        </w:rPr>
        <w:t>, P. (2023). New aspects of EPR: Extending producer respons</w:t>
      </w:r>
      <w:r>
        <w:rPr>
          <w:rFonts w:ascii="Times New Roman" w:eastAsia="Times New Roman" w:hAnsi="Times New Roman" w:cs="Times New Roman"/>
        </w:rPr>
        <w:t>ibility to additional product groups and challenges throughout the product lifecycle. </w:t>
      </w:r>
      <w:r>
        <w:rPr>
          <w:rFonts w:ascii="Times New Roman" w:eastAsia="Times New Roman" w:hAnsi="Times New Roman" w:cs="Times New Roman"/>
          <w:i/>
          <w:iCs/>
        </w:rPr>
        <w:t>OECD Environment Working Papers</w:t>
      </w:r>
      <w:r>
        <w:rPr>
          <w:rFonts w:ascii="Times New Roman" w:eastAsia="Times New Roman" w:hAnsi="Times New Roman" w:cs="Times New Roman"/>
        </w:rPr>
        <w:t>, No. 225, OECD Publishing, Paris.</w:t>
      </w:r>
    </w:p>
    <w:p w14:paraId="00000222"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Brulle</w:t>
      </w:r>
      <w:proofErr w:type="spellEnd"/>
      <w:r>
        <w:rPr>
          <w:rFonts w:ascii="Times New Roman" w:eastAsia="Times New Roman" w:hAnsi="Times New Roman" w:cs="Times New Roman"/>
        </w:rPr>
        <w:t>, R. J. (2018). The climate lobby: A sectoral analysis of lobbying spending on climate change in t</w:t>
      </w:r>
      <w:r>
        <w:rPr>
          <w:rFonts w:ascii="Times New Roman" w:eastAsia="Times New Roman" w:hAnsi="Times New Roman" w:cs="Times New Roman"/>
        </w:rPr>
        <w:t xml:space="preserve">he USA, 2000 to 2016. </w:t>
      </w:r>
      <w:r>
        <w:rPr>
          <w:rFonts w:ascii="Times New Roman" w:eastAsia="Times New Roman" w:hAnsi="Times New Roman" w:cs="Times New Roman"/>
          <w:i/>
          <w:iCs/>
        </w:rPr>
        <w:t>Climatic Change, 149</w:t>
      </w:r>
      <w:r>
        <w:rPr>
          <w:rFonts w:ascii="Times New Roman" w:eastAsia="Times New Roman" w:hAnsi="Times New Roman" w:cs="Times New Roman"/>
        </w:rPr>
        <w:t>(3), 289–303.</w:t>
      </w:r>
    </w:p>
    <w:p w14:paraId="00000223" w14:textId="77777777" w:rsidR="00AB4CD0" w:rsidRDefault="004C12C0">
      <w:pPr>
        <w:spacing w:before="200"/>
        <w:ind w:left="360" w:right="-360" w:hanging="360"/>
        <w:rPr>
          <w:rFonts w:ascii="Times New Roman" w:eastAsia="Times New Roman" w:hAnsi="Times New Roman" w:cs="Times New Roman"/>
        </w:rPr>
      </w:pPr>
      <w:r>
        <w:rPr>
          <w:rFonts w:ascii="Times New Roman" w:eastAsia="Times New Roman" w:hAnsi="Times New Roman" w:cs="Times New Roman"/>
        </w:rPr>
        <w:t xml:space="preserve">Buhl, A., </w:t>
      </w:r>
      <w:proofErr w:type="spellStart"/>
      <w:r>
        <w:rPr>
          <w:rFonts w:ascii="Times New Roman" w:eastAsia="Times New Roman" w:hAnsi="Times New Roman" w:cs="Times New Roman"/>
        </w:rPr>
        <w:t>Blazejewski</w:t>
      </w:r>
      <w:proofErr w:type="spellEnd"/>
      <w:r>
        <w:rPr>
          <w:rFonts w:ascii="Times New Roman" w:eastAsia="Times New Roman" w:hAnsi="Times New Roman" w:cs="Times New Roman"/>
        </w:rPr>
        <w:t xml:space="preserve">, S., &amp; Dittmer, F. (2016). The more, the merrier: Why and how employee-driven eco-innovation enhances environmental and competitive advantage. </w:t>
      </w:r>
      <w:r>
        <w:rPr>
          <w:rFonts w:ascii="Times New Roman" w:eastAsia="Times New Roman" w:hAnsi="Times New Roman" w:cs="Times New Roman"/>
          <w:i/>
          <w:iCs/>
        </w:rPr>
        <w:t>Sustainability,</w:t>
      </w:r>
      <w:r>
        <w:rPr>
          <w:rFonts w:ascii="Times New Roman" w:eastAsia="Times New Roman" w:hAnsi="Times New Roman" w:cs="Times New Roman"/>
        </w:rPr>
        <w:t xml:space="preserve"> </w:t>
      </w:r>
      <w:r>
        <w:rPr>
          <w:rFonts w:ascii="Times New Roman" w:eastAsia="Times New Roman" w:hAnsi="Times New Roman" w:cs="Times New Roman"/>
          <w:i/>
          <w:iCs/>
        </w:rPr>
        <w:t>8,</w:t>
      </w:r>
      <w:r>
        <w:rPr>
          <w:rFonts w:ascii="Times New Roman" w:eastAsia="Times New Roman" w:hAnsi="Times New Roman" w:cs="Times New Roman"/>
        </w:rPr>
        <w:t xml:space="preserve"> 946.</w:t>
      </w:r>
    </w:p>
    <w:p w14:paraId="00000224"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Caro, F., Corbett, C. J., Tan, T., &amp; </w:t>
      </w:r>
      <w:proofErr w:type="spellStart"/>
      <w:r>
        <w:rPr>
          <w:rFonts w:ascii="Times New Roman" w:eastAsia="Times New Roman" w:hAnsi="Times New Roman" w:cs="Times New Roman"/>
        </w:rPr>
        <w:t>Zuidwijk</w:t>
      </w:r>
      <w:proofErr w:type="spellEnd"/>
      <w:r>
        <w:rPr>
          <w:rFonts w:ascii="Times New Roman" w:eastAsia="Times New Roman" w:hAnsi="Times New Roman" w:cs="Times New Roman"/>
        </w:rPr>
        <w:t xml:space="preserve">, R. (2013). Double counting in supply chain carbon </w:t>
      </w:r>
      <w:proofErr w:type="spellStart"/>
      <w:r>
        <w:rPr>
          <w:rFonts w:ascii="Times New Roman" w:eastAsia="Times New Roman" w:hAnsi="Times New Roman" w:cs="Times New Roman"/>
        </w:rPr>
        <w:t>footprinting</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Manufacturing &amp; Service Operations Management, 15</w:t>
      </w:r>
      <w:r>
        <w:rPr>
          <w:rFonts w:ascii="Times New Roman" w:eastAsia="Times New Roman" w:hAnsi="Times New Roman" w:cs="Times New Roman"/>
        </w:rPr>
        <w:t>(4), 545–558.</w:t>
      </w:r>
    </w:p>
    <w:p w14:paraId="00000225"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Carrigan, M., </w:t>
      </w:r>
      <w:proofErr w:type="spellStart"/>
      <w:r>
        <w:rPr>
          <w:rFonts w:ascii="Times New Roman" w:eastAsia="Times New Roman" w:hAnsi="Times New Roman" w:cs="Times New Roman"/>
        </w:rPr>
        <w:t>Moraes</w:t>
      </w:r>
      <w:proofErr w:type="spellEnd"/>
      <w:r>
        <w:rPr>
          <w:rFonts w:ascii="Times New Roman" w:eastAsia="Times New Roman" w:hAnsi="Times New Roman" w:cs="Times New Roman"/>
        </w:rPr>
        <w:t xml:space="preserve">, C., &amp; Leek, S. (2011). Fostering responsible communities: A </w:t>
      </w:r>
      <w:r>
        <w:rPr>
          <w:rFonts w:ascii="Times New Roman" w:eastAsia="Times New Roman" w:hAnsi="Times New Roman" w:cs="Times New Roman"/>
        </w:rPr>
        <w:t xml:space="preserve">community social marketing approach to sustainable living. </w:t>
      </w:r>
      <w:r>
        <w:rPr>
          <w:rFonts w:ascii="Times New Roman" w:eastAsia="Times New Roman" w:hAnsi="Times New Roman" w:cs="Times New Roman"/>
          <w:i/>
          <w:iCs/>
        </w:rPr>
        <w:t>Journal of Business Ethics, 100</w:t>
      </w:r>
      <w:r>
        <w:rPr>
          <w:rFonts w:ascii="Times New Roman" w:eastAsia="Times New Roman" w:hAnsi="Times New Roman" w:cs="Times New Roman"/>
        </w:rPr>
        <w:t>, 515-534.</w:t>
      </w:r>
    </w:p>
    <w:p w14:paraId="00000226"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Catlin, J. R., &amp; Wang, Y. (2013). Recycling gone bad: When the option to recycle increases resource consumption. </w:t>
      </w:r>
      <w:r>
        <w:rPr>
          <w:rFonts w:ascii="Times New Roman" w:eastAsia="Times New Roman" w:hAnsi="Times New Roman" w:cs="Times New Roman"/>
          <w:i/>
          <w:iCs/>
        </w:rPr>
        <w:t>Journal of Consumer Psychology, 23</w:t>
      </w:r>
      <w:r>
        <w:rPr>
          <w:rFonts w:ascii="Times New Roman" w:eastAsia="Times New Roman" w:hAnsi="Times New Roman" w:cs="Times New Roman"/>
        </w:rPr>
        <w:t>(1), 122</w:t>
      </w:r>
      <w:r>
        <w:rPr>
          <w:rFonts w:ascii="Times New Roman" w:eastAsia="Times New Roman" w:hAnsi="Times New Roman" w:cs="Times New Roman"/>
        </w:rPr>
        <w:t>–127.</w:t>
      </w:r>
    </w:p>
    <w:p w14:paraId="00000227"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Chernev</w:t>
      </w:r>
      <w:proofErr w:type="spellEnd"/>
      <w:r>
        <w:rPr>
          <w:rFonts w:ascii="Times New Roman" w:eastAsia="Times New Roman" w:hAnsi="Times New Roman" w:cs="Times New Roman"/>
        </w:rPr>
        <w:t xml:space="preserve">, A., &amp; Blair, S. (2021). When sustainability is not a liability. The halo effect of marketplace morality. </w:t>
      </w:r>
      <w:r>
        <w:rPr>
          <w:rFonts w:ascii="Times New Roman" w:eastAsia="Times New Roman" w:hAnsi="Times New Roman" w:cs="Times New Roman"/>
          <w:i/>
          <w:iCs/>
        </w:rPr>
        <w:t>Journal of Consumer Psychology, 31</w:t>
      </w:r>
      <w:r>
        <w:rPr>
          <w:rFonts w:ascii="Times New Roman" w:eastAsia="Times New Roman" w:hAnsi="Times New Roman" w:cs="Times New Roman"/>
        </w:rPr>
        <w:t>(3), 551–569.</w:t>
      </w:r>
    </w:p>
    <w:p w14:paraId="00000228"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Cohen, S., </w:t>
      </w:r>
      <w:proofErr w:type="spellStart"/>
      <w:r>
        <w:rPr>
          <w:rFonts w:ascii="Times New Roman" w:eastAsia="Times New Roman" w:hAnsi="Times New Roman" w:cs="Times New Roman"/>
        </w:rPr>
        <w:t>Kadach</w:t>
      </w:r>
      <w:proofErr w:type="spellEnd"/>
      <w:r>
        <w:rPr>
          <w:rFonts w:ascii="Times New Roman" w:eastAsia="Times New Roman" w:hAnsi="Times New Roman" w:cs="Times New Roman"/>
        </w:rPr>
        <w:t xml:space="preserve">, I., &amp; </w:t>
      </w:r>
      <w:proofErr w:type="spellStart"/>
      <w:r>
        <w:rPr>
          <w:rFonts w:ascii="Times New Roman" w:eastAsia="Times New Roman" w:hAnsi="Times New Roman" w:cs="Times New Roman"/>
        </w:rPr>
        <w:t>Ormazabal</w:t>
      </w:r>
      <w:proofErr w:type="spellEnd"/>
      <w:r>
        <w:rPr>
          <w:rFonts w:ascii="Times New Roman" w:eastAsia="Times New Roman" w:hAnsi="Times New Roman" w:cs="Times New Roman"/>
        </w:rPr>
        <w:t>, G. (2023). Institutional investors, climate disclosu</w:t>
      </w:r>
      <w:r>
        <w:rPr>
          <w:rFonts w:ascii="Times New Roman" w:eastAsia="Times New Roman" w:hAnsi="Times New Roman" w:cs="Times New Roman"/>
        </w:rPr>
        <w:t xml:space="preserve">re, and carbon emissions. </w:t>
      </w:r>
      <w:r>
        <w:rPr>
          <w:rFonts w:ascii="Times New Roman" w:eastAsia="Times New Roman" w:hAnsi="Times New Roman" w:cs="Times New Roman"/>
          <w:i/>
          <w:iCs/>
        </w:rPr>
        <w:t>Journal of Accounting and Economics, 76</w:t>
      </w:r>
      <w:r>
        <w:rPr>
          <w:rFonts w:ascii="Times New Roman" w:eastAsia="Times New Roman" w:hAnsi="Times New Roman" w:cs="Times New Roman"/>
        </w:rPr>
        <w:t>(2-3), 101640.</w:t>
      </w:r>
    </w:p>
    <w:p w14:paraId="00000229"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Constantino, S. M., Sparkman, G., Kraft-Todd, G. T., </w:t>
      </w:r>
      <w:proofErr w:type="spellStart"/>
      <w:r>
        <w:rPr>
          <w:rFonts w:ascii="Times New Roman" w:eastAsia="Times New Roman" w:hAnsi="Times New Roman" w:cs="Times New Roman"/>
        </w:rPr>
        <w:t>Bicchieri</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Centola</w:t>
      </w:r>
      <w:proofErr w:type="spellEnd"/>
      <w:r>
        <w:rPr>
          <w:rFonts w:ascii="Times New Roman" w:eastAsia="Times New Roman" w:hAnsi="Times New Roman" w:cs="Times New Roman"/>
        </w:rPr>
        <w:t>, D., Shell-Duncan, B., ... &amp; Weber, E. U. (2022). Scaling up change: A critical review and practical</w:t>
      </w:r>
      <w:r>
        <w:rPr>
          <w:rFonts w:ascii="Times New Roman" w:eastAsia="Times New Roman" w:hAnsi="Times New Roman" w:cs="Times New Roman"/>
        </w:rPr>
        <w:t xml:space="preserve"> guide to harnessing social norms for climate action. </w:t>
      </w:r>
      <w:r>
        <w:rPr>
          <w:rFonts w:ascii="Times New Roman" w:eastAsia="Times New Roman" w:hAnsi="Times New Roman" w:cs="Times New Roman"/>
          <w:i/>
          <w:iCs/>
        </w:rPr>
        <w:t>Psychological Science in the Public Interest, 23</w:t>
      </w:r>
      <w:r>
        <w:rPr>
          <w:rFonts w:ascii="Times New Roman" w:eastAsia="Times New Roman" w:hAnsi="Times New Roman" w:cs="Times New Roman"/>
        </w:rPr>
        <w:t>(2), 50–97.</w:t>
      </w:r>
    </w:p>
    <w:p w14:paraId="0000022A"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Crippa</w:t>
      </w:r>
      <w:proofErr w:type="spellEnd"/>
      <w:r>
        <w:rPr>
          <w:rFonts w:ascii="Times New Roman" w:eastAsia="Times New Roman" w:hAnsi="Times New Roman" w:cs="Times New Roman"/>
        </w:rPr>
        <w:t>, M., Janssens-</w:t>
      </w:r>
      <w:proofErr w:type="spellStart"/>
      <w:r>
        <w:rPr>
          <w:rFonts w:ascii="Times New Roman" w:eastAsia="Times New Roman" w:hAnsi="Times New Roman" w:cs="Times New Roman"/>
        </w:rPr>
        <w:t>Maenhout</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Guizzardi</w:t>
      </w:r>
      <w:proofErr w:type="spellEnd"/>
      <w:r>
        <w:rPr>
          <w:rFonts w:ascii="Times New Roman" w:eastAsia="Times New Roman" w:hAnsi="Times New Roman" w:cs="Times New Roman"/>
        </w:rPr>
        <w:t>, D., &amp; Galmarini, S. (2016). EU effect: Exporting emission standards for vehicles through the glo</w:t>
      </w:r>
      <w:r>
        <w:rPr>
          <w:rFonts w:ascii="Times New Roman" w:eastAsia="Times New Roman" w:hAnsi="Times New Roman" w:cs="Times New Roman"/>
        </w:rPr>
        <w:t xml:space="preserve">bal market economy. </w:t>
      </w:r>
      <w:r>
        <w:rPr>
          <w:rFonts w:ascii="Times New Roman" w:eastAsia="Times New Roman" w:hAnsi="Times New Roman" w:cs="Times New Roman"/>
          <w:i/>
          <w:iCs/>
        </w:rPr>
        <w:t>Journal of Environmental Management, 183</w:t>
      </w:r>
      <w:r>
        <w:rPr>
          <w:rFonts w:ascii="Times New Roman" w:eastAsia="Times New Roman" w:hAnsi="Times New Roman" w:cs="Times New Roman"/>
        </w:rPr>
        <w:t>, 959-971.</w:t>
      </w:r>
    </w:p>
    <w:p w14:paraId="0000022B"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Dellaert</w:t>
      </w:r>
      <w:proofErr w:type="spellEnd"/>
      <w:r>
        <w:rPr>
          <w:rFonts w:ascii="Times New Roman" w:eastAsia="Times New Roman" w:hAnsi="Times New Roman" w:cs="Times New Roman"/>
        </w:rPr>
        <w:t xml:space="preserve">, B. G. (2019). The consumer production journey: marketing to consumers as co-producers in the sharing economy. </w:t>
      </w:r>
      <w:r>
        <w:rPr>
          <w:rFonts w:ascii="Times New Roman" w:eastAsia="Times New Roman" w:hAnsi="Times New Roman" w:cs="Times New Roman"/>
          <w:i/>
          <w:iCs/>
        </w:rPr>
        <w:t>Journal of the Academy of Marketing Science, 47</w:t>
      </w:r>
      <w:r>
        <w:rPr>
          <w:rFonts w:ascii="Times New Roman" w:eastAsia="Times New Roman" w:hAnsi="Times New Roman" w:cs="Times New Roman"/>
        </w:rPr>
        <w:t>(2), 238-254.</w:t>
      </w:r>
    </w:p>
    <w:p w14:paraId="0000022C" w14:textId="77777777" w:rsidR="00AB4CD0" w:rsidRDefault="004C12C0">
      <w:pPr>
        <w:spacing w:before="200"/>
        <w:ind w:left="360" w:hanging="360"/>
        <w:rPr>
          <w:rFonts w:ascii="Times New Roman" w:eastAsia="Times New Roman" w:hAnsi="Times New Roman" w:cs="Times New Roman"/>
          <w:highlight w:val="white"/>
        </w:rPr>
      </w:pPr>
      <w:r>
        <w:rPr>
          <w:rFonts w:ascii="Times New Roman" w:eastAsia="Times New Roman" w:hAnsi="Times New Roman" w:cs="Times New Roman"/>
          <w:highlight w:val="white"/>
        </w:rPr>
        <w:t>Delm</w:t>
      </w:r>
      <w:r>
        <w:rPr>
          <w:rFonts w:ascii="Times New Roman" w:eastAsia="Times New Roman" w:hAnsi="Times New Roman" w:cs="Times New Roman"/>
          <w:highlight w:val="white"/>
        </w:rPr>
        <w:t xml:space="preserve">as, M. A., </w:t>
      </w:r>
      <w:proofErr w:type="spellStart"/>
      <w:r>
        <w:rPr>
          <w:rFonts w:ascii="Times New Roman" w:eastAsia="Times New Roman" w:hAnsi="Times New Roman" w:cs="Times New Roman"/>
          <w:highlight w:val="white"/>
        </w:rPr>
        <w:t>Fischlein</w:t>
      </w:r>
      <w:proofErr w:type="spellEnd"/>
      <w:r>
        <w:rPr>
          <w:rFonts w:ascii="Times New Roman" w:eastAsia="Times New Roman" w:hAnsi="Times New Roman" w:cs="Times New Roman"/>
          <w:highlight w:val="white"/>
        </w:rPr>
        <w:t xml:space="preserve">, M., &amp; Asensio, O. I. (2013). Information strategies and energy conservation behavior: A meta-analysis of experimental studies from 1975 to 2012. </w:t>
      </w:r>
      <w:r>
        <w:rPr>
          <w:rFonts w:ascii="Times New Roman" w:eastAsia="Times New Roman" w:hAnsi="Times New Roman" w:cs="Times New Roman"/>
          <w:i/>
          <w:iCs/>
          <w:highlight w:val="white"/>
        </w:rPr>
        <w:t>Energy Policy, 61,</w:t>
      </w:r>
      <w:r>
        <w:rPr>
          <w:rFonts w:ascii="Times New Roman" w:eastAsia="Times New Roman" w:hAnsi="Times New Roman" w:cs="Times New Roman"/>
          <w:highlight w:val="white"/>
        </w:rPr>
        <w:t xml:space="preserve"> 729</w:t>
      </w:r>
      <w:r>
        <w:rPr>
          <w:rFonts w:ascii="Times New Roman" w:eastAsia="Times New Roman" w:hAnsi="Times New Roman" w:cs="Times New Roman"/>
        </w:rPr>
        <w:t>–</w:t>
      </w:r>
      <w:r>
        <w:rPr>
          <w:rFonts w:ascii="Times New Roman" w:eastAsia="Times New Roman" w:hAnsi="Times New Roman" w:cs="Times New Roman"/>
          <w:highlight w:val="white"/>
        </w:rPr>
        <w:t>739.</w:t>
      </w:r>
    </w:p>
    <w:p w14:paraId="0000022D" w14:textId="77777777" w:rsidR="00AB4CD0" w:rsidRDefault="004C12C0">
      <w:pPr>
        <w:spacing w:before="200"/>
        <w:ind w:left="360" w:hanging="36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Do Vale, G., Collin-</w:t>
      </w:r>
      <w:proofErr w:type="spellStart"/>
      <w:r>
        <w:rPr>
          <w:rFonts w:ascii="Times New Roman" w:eastAsia="Times New Roman" w:hAnsi="Times New Roman" w:cs="Times New Roman"/>
          <w:highlight w:val="white"/>
        </w:rPr>
        <w:t>Lachaud</w:t>
      </w:r>
      <w:proofErr w:type="spellEnd"/>
      <w:r>
        <w:rPr>
          <w:rFonts w:ascii="Times New Roman" w:eastAsia="Times New Roman" w:hAnsi="Times New Roman" w:cs="Times New Roman"/>
          <w:highlight w:val="white"/>
        </w:rPr>
        <w:t xml:space="preserve">, I., &amp; </w:t>
      </w:r>
      <w:proofErr w:type="spellStart"/>
      <w:r>
        <w:rPr>
          <w:rFonts w:ascii="Times New Roman" w:eastAsia="Times New Roman" w:hAnsi="Times New Roman" w:cs="Times New Roman"/>
          <w:highlight w:val="white"/>
        </w:rPr>
        <w:t>Lecocq</w:t>
      </w:r>
      <w:proofErr w:type="spellEnd"/>
      <w:r>
        <w:rPr>
          <w:rFonts w:ascii="Times New Roman" w:eastAsia="Times New Roman" w:hAnsi="Times New Roman" w:cs="Times New Roman"/>
          <w:highlight w:val="white"/>
        </w:rPr>
        <w:t>, X. (2025). Resolvi</w:t>
      </w:r>
      <w:r>
        <w:rPr>
          <w:rFonts w:ascii="Times New Roman" w:eastAsia="Times New Roman" w:hAnsi="Times New Roman" w:cs="Times New Roman"/>
          <w:highlight w:val="white"/>
        </w:rPr>
        <w:t xml:space="preserve">ng paradoxical tensions during business model innovation for sustainability in retailing: The role of the ecosystem. </w:t>
      </w:r>
      <w:r>
        <w:rPr>
          <w:rFonts w:ascii="Times New Roman" w:eastAsia="Times New Roman" w:hAnsi="Times New Roman" w:cs="Times New Roman"/>
          <w:i/>
          <w:iCs/>
          <w:highlight w:val="white"/>
        </w:rPr>
        <w:t>Journal of Retailing</w:t>
      </w:r>
      <w:r>
        <w:rPr>
          <w:rFonts w:ascii="Times New Roman" w:eastAsia="Times New Roman" w:hAnsi="Times New Roman" w:cs="Times New Roman"/>
          <w:highlight w:val="white"/>
        </w:rPr>
        <w:t>.</w:t>
      </w:r>
    </w:p>
    <w:p w14:paraId="0000022E" w14:textId="77777777" w:rsidR="00AB4CD0" w:rsidRDefault="004C12C0">
      <w:pPr>
        <w:spacing w:before="200"/>
        <w:ind w:left="360" w:hanging="36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eBay Inc. (2020, October 21). </w:t>
      </w:r>
      <w:r>
        <w:rPr>
          <w:rFonts w:ascii="Times New Roman" w:eastAsia="Times New Roman" w:hAnsi="Times New Roman" w:cs="Times New Roman"/>
          <w:i/>
          <w:iCs/>
          <w:highlight w:val="white"/>
        </w:rPr>
        <w:t>eBay launches new destination to meet surging demand for certified refurbished products</w:t>
      </w:r>
      <w:r>
        <w:rPr>
          <w:rFonts w:ascii="Times New Roman" w:eastAsia="Times New Roman" w:hAnsi="Times New Roman" w:cs="Times New Roman"/>
          <w:i/>
          <w:iCs/>
          <w:highlight w:val="white"/>
        </w:rPr>
        <w:t xml:space="preserve"> from top brands</w:t>
      </w:r>
      <w:r>
        <w:rPr>
          <w:rFonts w:ascii="Times New Roman" w:eastAsia="Times New Roman" w:hAnsi="Times New Roman" w:cs="Times New Roman"/>
          <w:highlight w:val="white"/>
        </w:rPr>
        <w:t xml:space="preserve">. </w:t>
      </w:r>
      <w:hyperlink r:id="rId44">
        <w:r>
          <w:rPr>
            <w:rFonts w:ascii="Times New Roman" w:eastAsia="Times New Roman" w:hAnsi="Times New Roman" w:cs="Times New Roman"/>
            <w:color w:val="0000FF"/>
            <w:highlight w:val="white"/>
            <w:u w:val="single"/>
          </w:rPr>
          <w:t>https://www.ebayinc.com/stories/news/ebay-launches-new-destination-to-meet-surging-demand-for-certified-refurbished-products-from-top-brands/</w:t>
        </w:r>
      </w:hyperlink>
    </w:p>
    <w:p w14:paraId="0000022F" w14:textId="77777777" w:rsidR="00AB4CD0" w:rsidRDefault="004C12C0">
      <w:pPr>
        <w:spacing w:before="200"/>
        <w:ind w:left="360" w:hanging="360"/>
        <w:rPr>
          <w:rFonts w:ascii="Times New Roman" w:eastAsia="Times New Roman" w:hAnsi="Times New Roman" w:cs="Times New Roman"/>
          <w:highlight w:val="white"/>
        </w:rPr>
      </w:pPr>
      <w:proofErr w:type="spellStart"/>
      <w:r>
        <w:rPr>
          <w:rFonts w:ascii="Times New Roman" w:eastAsia="Times New Roman" w:hAnsi="Times New Roman" w:cs="Times New Roman"/>
        </w:rPr>
        <w:t>EcoAct</w:t>
      </w:r>
      <w:proofErr w:type="spellEnd"/>
      <w:r>
        <w:rPr>
          <w:rFonts w:ascii="Times New Roman" w:eastAsia="Times New Roman" w:hAnsi="Times New Roman" w:cs="Times New Roman"/>
        </w:rPr>
        <w:t>. (n.d.). Etsy sets a science-based net-zero target. https://eco-act.com/case-study/etsy-sets-ambitious-scie</w:t>
      </w:r>
      <w:r>
        <w:rPr>
          <w:rFonts w:ascii="Times New Roman" w:eastAsia="Times New Roman" w:hAnsi="Times New Roman" w:cs="Times New Roman"/>
        </w:rPr>
        <w:t>nce-based-near-and-long-term-net-zero-targets/</w:t>
      </w:r>
    </w:p>
    <w:p w14:paraId="00000230" w14:textId="77777777" w:rsidR="00AB4CD0" w:rsidRDefault="004C12C0">
      <w:pPr>
        <w:spacing w:before="200"/>
        <w:ind w:left="360" w:hanging="36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European Commission (2025, September). </w:t>
      </w:r>
      <w:r>
        <w:rPr>
          <w:rFonts w:ascii="Times New Roman" w:eastAsia="Times New Roman" w:hAnsi="Times New Roman" w:cs="Times New Roman"/>
          <w:i/>
          <w:iCs/>
          <w:highlight w:val="white"/>
        </w:rPr>
        <w:t>EU Emissions Trading System.</w:t>
      </w:r>
      <w:r>
        <w:rPr>
          <w:rFonts w:ascii="Times New Roman" w:eastAsia="Times New Roman" w:hAnsi="Times New Roman" w:cs="Times New Roman"/>
          <w:highlight w:val="white"/>
        </w:rPr>
        <w:br/>
        <w:t>https://climate.ec.europa.eu/eu-action/carbon-markets/eu-emissions-trading-system-eu-ets_en</w:t>
      </w:r>
    </w:p>
    <w:p w14:paraId="00000231" w14:textId="77777777" w:rsidR="00AB4CD0" w:rsidRDefault="004C12C0">
      <w:pPr>
        <w:spacing w:before="200"/>
        <w:ind w:left="360" w:hanging="360"/>
        <w:rPr>
          <w:rFonts w:ascii="Times New Roman" w:eastAsia="Times New Roman" w:hAnsi="Times New Roman" w:cs="Times New Roman"/>
          <w:highlight w:val="white"/>
        </w:rPr>
      </w:pPr>
      <w:r>
        <w:rPr>
          <w:rFonts w:ascii="Times New Roman" w:eastAsia="Times New Roman" w:hAnsi="Times New Roman" w:cs="Times New Roman"/>
          <w:highlight w:val="white"/>
        </w:rPr>
        <w:t>Eckersley, P., Haupt, W., &amp; Kern, K. (2025). Asse</w:t>
      </w:r>
      <w:r>
        <w:rPr>
          <w:rFonts w:ascii="Times New Roman" w:eastAsia="Times New Roman" w:hAnsi="Times New Roman" w:cs="Times New Roman"/>
          <w:highlight w:val="white"/>
        </w:rPr>
        <w:t>ssing the impact of Fridays for Future on climate policy and policymaking in German cities. J</w:t>
      </w:r>
      <w:r>
        <w:rPr>
          <w:rFonts w:ascii="Times New Roman" w:eastAsia="Times New Roman" w:hAnsi="Times New Roman" w:cs="Times New Roman"/>
          <w:i/>
          <w:iCs/>
          <w:highlight w:val="white"/>
        </w:rPr>
        <w:t>ournal of Environmental Policy &amp; Planning, 27</w:t>
      </w:r>
      <w:r>
        <w:rPr>
          <w:rFonts w:ascii="Times New Roman" w:eastAsia="Times New Roman" w:hAnsi="Times New Roman" w:cs="Times New Roman"/>
          <w:highlight w:val="white"/>
        </w:rPr>
        <w:t>(3), 280-293.</w:t>
      </w:r>
    </w:p>
    <w:p w14:paraId="00000232" w14:textId="77777777" w:rsidR="00AB4CD0" w:rsidRDefault="004C12C0">
      <w:pPr>
        <w:spacing w:before="200"/>
        <w:ind w:left="360" w:hanging="360"/>
        <w:rPr>
          <w:rFonts w:ascii="Times New Roman" w:eastAsia="Times New Roman" w:hAnsi="Times New Roman" w:cs="Times New Roman"/>
          <w:u w:val="single"/>
        </w:rPr>
      </w:pPr>
      <w:r>
        <w:rPr>
          <w:rFonts w:ascii="Times New Roman" w:eastAsia="Times New Roman" w:hAnsi="Times New Roman" w:cs="Times New Roman"/>
        </w:rPr>
        <w:t xml:space="preserve">Endres, K., &amp; Panagopoulos, C. (2017). Boycotts, </w:t>
      </w:r>
      <w:proofErr w:type="spellStart"/>
      <w:r>
        <w:rPr>
          <w:rFonts w:ascii="Times New Roman" w:eastAsia="Times New Roman" w:hAnsi="Times New Roman" w:cs="Times New Roman"/>
        </w:rPr>
        <w:t>buycotts</w:t>
      </w:r>
      <w:proofErr w:type="spellEnd"/>
      <w:r>
        <w:rPr>
          <w:rFonts w:ascii="Times New Roman" w:eastAsia="Times New Roman" w:hAnsi="Times New Roman" w:cs="Times New Roman"/>
        </w:rPr>
        <w:t xml:space="preserve">, and political consumerism in America. </w:t>
      </w:r>
      <w:r>
        <w:rPr>
          <w:rFonts w:ascii="Times New Roman" w:eastAsia="Times New Roman" w:hAnsi="Times New Roman" w:cs="Times New Roman"/>
          <w:i/>
          <w:iCs/>
        </w:rPr>
        <w:t>Researc</w:t>
      </w:r>
      <w:r>
        <w:rPr>
          <w:rFonts w:ascii="Times New Roman" w:eastAsia="Times New Roman" w:hAnsi="Times New Roman" w:cs="Times New Roman"/>
          <w:i/>
          <w:iCs/>
        </w:rPr>
        <w:t>h and Politics, 4</w:t>
      </w:r>
      <w:r>
        <w:rPr>
          <w:rFonts w:ascii="Times New Roman" w:eastAsia="Times New Roman" w:hAnsi="Times New Roman" w:cs="Times New Roman"/>
        </w:rPr>
        <w:t>(4), 1–9.</w:t>
      </w:r>
    </w:p>
    <w:p w14:paraId="00000233"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Essiz</w:t>
      </w:r>
      <w:proofErr w:type="spellEnd"/>
      <w:r>
        <w:rPr>
          <w:rFonts w:ascii="Times New Roman" w:eastAsia="Times New Roman" w:hAnsi="Times New Roman" w:cs="Times New Roman"/>
        </w:rPr>
        <w:t xml:space="preserve">, O., &amp; </w:t>
      </w:r>
      <w:proofErr w:type="spellStart"/>
      <w:r>
        <w:rPr>
          <w:rFonts w:ascii="Times New Roman" w:eastAsia="Times New Roman" w:hAnsi="Times New Roman" w:cs="Times New Roman"/>
        </w:rPr>
        <w:t>Mandrik</w:t>
      </w:r>
      <w:proofErr w:type="spellEnd"/>
      <w:r>
        <w:rPr>
          <w:rFonts w:ascii="Times New Roman" w:eastAsia="Times New Roman" w:hAnsi="Times New Roman" w:cs="Times New Roman"/>
        </w:rPr>
        <w:t xml:space="preserve">, C. (2022). Intergenerational influence on sustainable consumer attitudes and behaviors: Roles of family communication and peer influence in environmental consumer socialization. </w:t>
      </w:r>
      <w:r>
        <w:rPr>
          <w:rFonts w:ascii="Times New Roman" w:eastAsia="Times New Roman" w:hAnsi="Times New Roman" w:cs="Times New Roman"/>
          <w:i/>
          <w:iCs/>
        </w:rPr>
        <w:t>Psychology &amp; Marketing, 39</w:t>
      </w:r>
      <w:r>
        <w:rPr>
          <w:rFonts w:ascii="Times New Roman" w:eastAsia="Times New Roman" w:hAnsi="Times New Roman" w:cs="Times New Roman"/>
        </w:rPr>
        <w:t>(1)</w:t>
      </w:r>
      <w:r>
        <w:rPr>
          <w:rFonts w:ascii="Times New Roman" w:eastAsia="Times New Roman" w:hAnsi="Times New Roman" w:cs="Times New Roman"/>
        </w:rPr>
        <w:t>, 5–26.</w:t>
      </w:r>
    </w:p>
    <w:p w14:paraId="00000234" w14:textId="77777777" w:rsidR="00AB4CD0" w:rsidRDefault="004C12C0">
      <w:pPr>
        <w:spacing w:before="200"/>
        <w:ind w:left="360" w:right="-180" w:hanging="360"/>
        <w:rPr>
          <w:rFonts w:ascii="Times New Roman" w:eastAsia="Times New Roman" w:hAnsi="Times New Roman" w:cs="Times New Roman"/>
        </w:rPr>
      </w:pPr>
      <w:r>
        <w:rPr>
          <w:rFonts w:ascii="Times New Roman" w:eastAsia="Times New Roman" w:hAnsi="Times New Roman" w:cs="Times New Roman"/>
        </w:rPr>
        <w:t xml:space="preserve">Feinberg, M., </w:t>
      </w:r>
      <w:proofErr w:type="spellStart"/>
      <w:r>
        <w:rPr>
          <w:rFonts w:ascii="Times New Roman" w:eastAsia="Times New Roman" w:hAnsi="Times New Roman" w:cs="Times New Roman"/>
        </w:rPr>
        <w:t>Willer</w:t>
      </w:r>
      <w:proofErr w:type="spellEnd"/>
      <w:r>
        <w:rPr>
          <w:rFonts w:ascii="Times New Roman" w:eastAsia="Times New Roman" w:hAnsi="Times New Roman" w:cs="Times New Roman"/>
        </w:rPr>
        <w:t xml:space="preserve">, R., &amp; </w:t>
      </w:r>
      <w:proofErr w:type="spellStart"/>
      <w:r>
        <w:rPr>
          <w:rFonts w:ascii="Times New Roman" w:eastAsia="Times New Roman" w:hAnsi="Times New Roman" w:cs="Times New Roman"/>
        </w:rPr>
        <w:t>Kovacheff</w:t>
      </w:r>
      <w:proofErr w:type="spellEnd"/>
      <w:r>
        <w:rPr>
          <w:rFonts w:ascii="Times New Roman" w:eastAsia="Times New Roman" w:hAnsi="Times New Roman" w:cs="Times New Roman"/>
        </w:rPr>
        <w:t>, C. (2020). The activist’s dilemma: Extreme protest actions reduce popular support for social movements. </w:t>
      </w:r>
      <w:r>
        <w:rPr>
          <w:rFonts w:ascii="Times New Roman" w:eastAsia="Times New Roman" w:hAnsi="Times New Roman" w:cs="Times New Roman"/>
          <w:i/>
          <w:iCs/>
        </w:rPr>
        <w:t>Journal of Personality and Social Psychology, 119</w:t>
      </w:r>
      <w:r>
        <w:rPr>
          <w:rFonts w:ascii="Times New Roman" w:eastAsia="Times New Roman" w:hAnsi="Times New Roman" w:cs="Times New Roman"/>
        </w:rPr>
        <w:t>(5), 1086–1111.</w:t>
      </w:r>
    </w:p>
    <w:p w14:paraId="00000235" w14:textId="77777777" w:rsidR="00AB4CD0" w:rsidRDefault="004C12C0">
      <w:pPr>
        <w:spacing w:before="200"/>
        <w:ind w:left="360" w:right="-180" w:hanging="360"/>
        <w:rPr>
          <w:rFonts w:ascii="Times New Roman" w:eastAsia="Times New Roman" w:hAnsi="Times New Roman" w:cs="Times New Roman"/>
        </w:rPr>
      </w:pPr>
      <w:r>
        <w:rPr>
          <w:rFonts w:ascii="Times New Roman" w:eastAsia="Times New Roman" w:hAnsi="Times New Roman" w:cs="Times New Roman"/>
        </w:rPr>
        <w:t xml:space="preserve">Fella, S., &amp; </w:t>
      </w:r>
      <w:proofErr w:type="spellStart"/>
      <w:r>
        <w:rPr>
          <w:rFonts w:ascii="Times New Roman" w:eastAsia="Times New Roman" w:hAnsi="Times New Roman" w:cs="Times New Roman"/>
        </w:rPr>
        <w:t>Bausa</w:t>
      </w:r>
      <w:proofErr w:type="spellEnd"/>
      <w:r>
        <w:rPr>
          <w:rFonts w:ascii="Times New Roman" w:eastAsia="Times New Roman" w:hAnsi="Times New Roman" w:cs="Times New Roman"/>
        </w:rPr>
        <w:t xml:space="preserve">, E. (2024). Green or </w:t>
      </w:r>
      <w:r>
        <w:rPr>
          <w:rFonts w:ascii="Times New Roman" w:eastAsia="Times New Roman" w:hAnsi="Times New Roman" w:cs="Times New Roman"/>
        </w:rPr>
        <w:t xml:space="preserve">greenwashed? Examining consumers' ability to identify greenwashing. </w:t>
      </w:r>
      <w:r>
        <w:rPr>
          <w:rFonts w:ascii="Times New Roman" w:eastAsia="Times New Roman" w:hAnsi="Times New Roman" w:cs="Times New Roman"/>
          <w:i/>
          <w:iCs/>
        </w:rPr>
        <w:t>Journal of Environmental Psychology, 95</w:t>
      </w:r>
      <w:r>
        <w:rPr>
          <w:rFonts w:ascii="Times New Roman" w:eastAsia="Times New Roman" w:hAnsi="Times New Roman" w:cs="Times New Roman"/>
        </w:rPr>
        <w:t>, 102281.</w:t>
      </w:r>
    </w:p>
    <w:p w14:paraId="00000236" w14:textId="77777777" w:rsidR="00AB4CD0" w:rsidRDefault="004C12C0">
      <w:pPr>
        <w:spacing w:before="200"/>
        <w:ind w:left="360" w:right="-180" w:hanging="360"/>
        <w:rPr>
          <w:rFonts w:ascii="Times New Roman" w:eastAsia="Times New Roman" w:hAnsi="Times New Roman" w:cs="Times New Roman"/>
        </w:rPr>
      </w:pPr>
      <w:r>
        <w:rPr>
          <w:rFonts w:ascii="Times New Roman" w:eastAsia="Times New Roman" w:hAnsi="Times New Roman" w:cs="Times New Roman"/>
        </w:rPr>
        <w:t xml:space="preserve">Fischer, L. B., &amp; </w:t>
      </w:r>
      <w:proofErr w:type="spellStart"/>
      <w:r>
        <w:rPr>
          <w:rFonts w:ascii="Times New Roman" w:eastAsia="Times New Roman" w:hAnsi="Times New Roman" w:cs="Times New Roman"/>
        </w:rPr>
        <w:t>Newig</w:t>
      </w:r>
      <w:proofErr w:type="spellEnd"/>
      <w:r>
        <w:rPr>
          <w:rFonts w:ascii="Times New Roman" w:eastAsia="Times New Roman" w:hAnsi="Times New Roman" w:cs="Times New Roman"/>
        </w:rPr>
        <w:t>, J. (2016). Importance of actors and agency in sustainability transitions: A systematic exploration of the literatu</w:t>
      </w:r>
      <w:r>
        <w:rPr>
          <w:rFonts w:ascii="Times New Roman" w:eastAsia="Times New Roman" w:hAnsi="Times New Roman" w:cs="Times New Roman"/>
        </w:rPr>
        <w:t xml:space="preserve">re. </w:t>
      </w:r>
      <w:r>
        <w:rPr>
          <w:rFonts w:ascii="Times New Roman" w:eastAsia="Times New Roman" w:hAnsi="Times New Roman" w:cs="Times New Roman"/>
          <w:i/>
          <w:iCs/>
        </w:rPr>
        <w:t>Sustainability, 8</w:t>
      </w:r>
      <w:r>
        <w:rPr>
          <w:rFonts w:ascii="Times New Roman" w:eastAsia="Times New Roman" w:hAnsi="Times New Roman" w:cs="Times New Roman"/>
        </w:rPr>
        <w:t>(5), 476.</w:t>
      </w:r>
    </w:p>
    <w:p w14:paraId="00000237" w14:textId="77777777" w:rsidR="00AB4CD0" w:rsidRDefault="004C12C0">
      <w:pPr>
        <w:spacing w:before="200"/>
        <w:ind w:left="360" w:right="-180" w:hanging="360"/>
        <w:rPr>
          <w:rFonts w:ascii="Times New Roman" w:eastAsia="Times New Roman" w:hAnsi="Times New Roman" w:cs="Times New Roman"/>
        </w:rPr>
      </w:pPr>
      <w:r>
        <w:rPr>
          <w:rFonts w:ascii="Times New Roman" w:eastAsia="Times New Roman" w:hAnsi="Times New Roman" w:cs="Times New Roman"/>
        </w:rPr>
        <w:t xml:space="preserve">Flammer, C., </w:t>
      </w:r>
      <w:proofErr w:type="spellStart"/>
      <w:r>
        <w:rPr>
          <w:rFonts w:ascii="Times New Roman" w:eastAsia="Times New Roman" w:hAnsi="Times New Roman" w:cs="Times New Roman"/>
        </w:rPr>
        <w:t>Toffel</w:t>
      </w:r>
      <w:proofErr w:type="spellEnd"/>
      <w:r>
        <w:rPr>
          <w:rFonts w:ascii="Times New Roman" w:eastAsia="Times New Roman" w:hAnsi="Times New Roman" w:cs="Times New Roman"/>
        </w:rPr>
        <w:t xml:space="preserve">, M. W., &amp; Viswanathan, K. (2021). Shareholder activism and firms' voluntary disclosure of climate change risks. </w:t>
      </w:r>
      <w:r>
        <w:rPr>
          <w:rFonts w:ascii="Times New Roman" w:eastAsia="Times New Roman" w:hAnsi="Times New Roman" w:cs="Times New Roman"/>
          <w:i/>
          <w:iCs/>
        </w:rPr>
        <w:t>Strategic Management Journal, 42</w:t>
      </w:r>
      <w:r>
        <w:rPr>
          <w:rFonts w:ascii="Times New Roman" w:eastAsia="Times New Roman" w:hAnsi="Times New Roman" w:cs="Times New Roman"/>
        </w:rPr>
        <w:t>(10), 1850–1879.</w:t>
      </w:r>
    </w:p>
    <w:p w14:paraId="00000238" w14:textId="77777777" w:rsidR="00AB4CD0" w:rsidRDefault="004C12C0">
      <w:pPr>
        <w:spacing w:before="200"/>
        <w:ind w:left="360" w:hanging="360"/>
        <w:rPr>
          <w:rFonts w:ascii="Times New Roman" w:eastAsia="Times New Roman" w:hAnsi="Times New Roman" w:cs="Times New Roman"/>
          <w:u w:val="single"/>
        </w:rPr>
      </w:pPr>
      <w:r>
        <w:rPr>
          <w:rFonts w:ascii="Times New Roman" w:eastAsia="Times New Roman" w:hAnsi="Times New Roman" w:cs="Times New Roman"/>
        </w:rPr>
        <w:t xml:space="preserve">Friedman, M. (1996). A positive approach to </w:t>
      </w:r>
      <w:r>
        <w:rPr>
          <w:rFonts w:ascii="Times New Roman" w:eastAsia="Times New Roman" w:hAnsi="Times New Roman" w:cs="Times New Roman"/>
        </w:rPr>
        <w:t>organized consumer action: The “</w:t>
      </w:r>
      <w:proofErr w:type="spellStart"/>
      <w:r>
        <w:rPr>
          <w:rFonts w:ascii="Times New Roman" w:eastAsia="Times New Roman" w:hAnsi="Times New Roman" w:cs="Times New Roman"/>
        </w:rPr>
        <w:t>buycott</w:t>
      </w:r>
      <w:proofErr w:type="spellEnd"/>
      <w:r>
        <w:rPr>
          <w:rFonts w:ascii="Times New Roman" w:eastAsia="Times New Roman" w:hAnsi="Times New Roman" w:cs="Times New Roman"/>
        </w:rPr>
        <w:t xml:space="preserve">” as an alternative to the boycott. </w:t>
      </w:r>
      <w:r>
        <w:rPr>
          <w:rFonts w:ascii="Times New Roman" w:eastAsia="Times New Roman" w:hAnsi="Times New Roman" w:cs="Times New Roman"/>
          <w:i/>
          <w:iCs/>
        </w:rPr>
        <w:t>Journal of Consumer Policy, 19,</w:t>
      </w:r>
      <w:r>
        <w:rPr>
          <w:rFonts w:ascii="Times New Roman" w:eastAsia="Times New Roman" w:hAnsi="Times New Roman" w:cs="Times New Roman"/>
        </w:rPr>
        <w:t xml:space="preserve"> 439–451.</w:t>
      </w:r>
    </w:p>
    <w:p w14:paraId="00000239"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Giannetti</w:t>
      </w:r>
      <w:proofErr w:type="spellEnd"/>
      <w:r>
        <w:rPr>
          <w:rFonts w:ascii="Times New Roman" w:eastAsia="Times New Roman" w:hAnsi="Times New Roman" w:cs="Times New Roman"/>
        </w:rPr>
        <w:t xml:space="preserve">, M., &amp; </w:t>
      </w:r>
      <w:proofErr w:type="spellStart"/>
      <w:r>
        <w:rPr>
          <w:rFonts w:ascii="Times New Roman" w:eastAsia="Times New Roman" w:hAnsi="Times New Roman" w:cs="Times New Roman"/>
        </w:rPr>
        <w:t>Gantchev</w:t>
      </w:r>
      <w:proofErr w:type="spellEnd"/>
      <w:r>
        <w:rPr>
          <w:rFonts w:ascii="Times New Roman" w:eastAsia="Times New Roman" w:hAnsi="Times New Roman" w:cs="Times New Roman"/>
        </w:rPr>
        <w:t>, N. (2019). </w:t>
      </w:r>
      <w:r>
        <w:rPr>
          <w:rFonts w:ascii="Times New Roman" w:eastAsia="Times New Roman" w:hAnsi="Times New Roman" w:cs="Times New Roman"/>
          <w:i/>
          <w:iCs/>
        </w:rPr>
        <w:t>Does money talk? Market discipline through selloffs and boycotts</w:t>
      </w:r>
      <w:r>
        <w:rPr>
          <w:rFonts w:ascii="Times New Roman" w:eastAsia="Times New Roman" w:hAnsi="Times New Roman" w:cs="Times New Roman"/>
        </w:rPr>
        <w:t> (No. 14098). CEPR Discussion Papers.</w:t>
      </w:r>
    </w:p>
    <w:p w14:paraId="0000023A"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highlight w:val="white"/>
        </w:rPr>
        <w:t>Chandy</w:t>
      </w:r>
      <w:proofErr w:type="spellEnd"/>
      <w:r>
        <w:rPr>
          <w:rFonts w:ascii="Times New Roman" w:eastAsia="Times New Roman" w:hAnsi="Times New Roman" w:cs="Times New Roman"/>
          <w:highlight w:val="white"/>
        </w:rPr>
        <w:t xml:space="preserve">, R. K., </w:t>
      </w:r>
      <w:proofErr w:type="spellStart"/>
      <w:r>
        <w:rPr>
          <w:rFonts w:ascii="Times New Roman" w:eastAsia="Times New Roman" w:hAnsi="Times New Roman" w:cs="Times New Roman"/>
          <w:highlight w:val="white"/>
        </w:rPr>
        <w:t>Johar</w:t>
      </w:r>
      <w:proofErr w:type="spellEnd"/>
      <w:r>
        <w:rPr>
          <w:rFonts w:ascii="Times New Roman" w:eastAsia="Times New Roman" w:hAnsi="Times New Roman" w:cs="Times New Roman"/>
          <w:highlight w:val="white"/>
        </w:rPr>
        <w:t>, G. V., Moorman, C., &amp; Roberts, J. H. (2021). Better Marketing for a Better World. </w:t>
      </w:r>
      <w:r>
        <w:rPr>
          <w:rFonts w:ascii="Times New Roman" w:eastAsia="Times New Roman" w:hAnsi="Times New Roman" w:cs="Times New Roman"/>
          <w:i/>
          <w:iCs/>
          <w:highlight w:val="white"/>
        </w:rPr>
        <w:t>Journal of Marketing</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85</w:t>
      </w:r>
      <w:r>
        <w:rPr>
          <w:rFonts w:ascii="Times New Roman" w:eastAsia="Times New Roman" w:hAnsi="Times New Roman" w:cs="Times New Roman"/>
          <w:highlight w:val="white"/>
        </w:rPr>
        <w:t>(3), 1-9.</w:t>
      </w:r>
    </w:p>
    <w:p w14:paraId="0000023B" w14:textId="77777777" w:rsidR="00AB4CD0" w:rsidRPr="006710D8" w:rsidRDefault="004C12C0">
      <w:pPr>
        <w:spacing w:before="200"/>
        <w:ind w:left="360" w:hanging="360"/>
        <w:rPr>
          <w:rFonts w:ascii="Times New Roman" w:eastAsia="Times New Roman" w:hAnsi="Times New Roman" w:cs="Times New Roman"/>
          <w:lang w:val="it-IT"/>
        </w:rPr>
      </w:pPr>
      <w:r>
        <w:rPr>
          <w:rFonts w:ascii="Times New Roman" w:eastAsia="Times New Roman" w:hAnsi="Times New Roman" w:cs="Times New Roman"/>
        </w:rPr>
        <w:t xml:space="preserve">Goyal, D. (2021, August 30). </w:t>
      </w:r>
      <w:r>
        <w:rPr>
          <w:rFonts w:ascii="Times New Roman" w:eastAsia="Times New Roman" w:hAnsi="Times New Roman" w:cs="Times New Roman"/>
          <w:i/>
          <w:iCs/>
        </w:rPr>
        <w:t>Say no to cutlery in food delivery</w:t>
      </w:r>
      <w:r>
        <w:rPr>
          <w:rFonts w:ascii="Times New Roman" w:eastAsia="Times New Roman" w:hAnsi="Times New Roman" w:cs="Times New Roman"/>
        </w:rPr>
        <w:t xml:space="preserve"> [Blog post]. </w:t>
      </w:r>
      <w:proofErr w:type="spellStart"/>
      <w:r w:rsidRPr="006710D8">
        <w:rPr>
          <w:rFonts w:ascii="Times New Roman" w:eastAsia="Times New Roman" w:hAnsi="Times New Roman" w:cs="Times New Roman"/>
          <w:lang w:val="it-IT"/>
        </w:rPr>
        <w:t>Zomato</w:t>
      </w:r>
      <w:proofErr w:type="spellEnd"/>
      <w:r w:rsidRPr="006710D8">
        <w:rPr>
          <w:rFonts w:ascii="Times New Roman" w:eastAsia="Times New Roman" w:hAnsi="Times New Roman" w:cs="Times New Roman"/>
          <w:lang w:val="it-IT"/>
        </w:rPr>
        <w:t xml:space="preserve"> Blog. </w:t>
      </w:r>
      <w:hyperlink r:id="rId45">
        <w:r w:rsidRPr="006710D8">
          <w:rPr>
            <w:rFonts w:ascii="Times New Roman" w:eastAsia="Times New Roman" w:hAnsi="Times New Roman" w:cs="Times New Roman"/>
            <w:color w:val="0000FF"/>
            <w:lang w:val="it-IT"/>
          </w:rPr>
          <w:t>https://blog.zomato.com/say-no-to-cutlery-in-food-delivery</w:t>
        </w:r>
      </w:hyperlink>
    </w:p>
    <w:p w14:paraId="0000023C"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lastRenderedPageBreak/>
        <w:t>Griskevicius</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Tybur</w:t>
      </w:r>
      <w:proofErr w:type="spellEnd"/>
      <w:r>
        <w:rPr>
          <w:rFonts w:ascii="Times New Roman" w:eastAsia="Times New Roman" w:hAnsi="Times New Roman" w:cs="Times New Roman"/>
        </w:rPr>
        <w:t xml:space="preserve">, J. M., &amp; Van den Bergh, B. (2010). Going green to be seen: Status, reputation, and conspicuous conservation. </w:t>
      </w:r>
      <w:r>
        <w:rPr>
          <w:rFonts w:ascii="Times New Roman" w:eastAsia="Times New Roman" w:hAnsi="Times New Roman" w:cs="Times New Roman"/>
          <w:i/>
          <w:iCs/>
        </w:rPr>
        <w:t>Journal of Personality and Social Psychology, 98</w:t>
      </w:r>
      <w:r>
        <w:rPr>
          <w:rFonts w:ascii="Times New Roman" w:eastAsia="Times New Roman" w:hAnsi="Times New Roman" w:cs="Times New Roman"/>
        </w:rPr>
        <w:t>(3), 392.</w:t>
      </w:r>
    </w:p>
    <w:p w14:paraId="0000023D"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H&amp;M Group. (2012, December 6). </w:t>
      </w:r>
      <w:r>
        <w:rPr>
          <w:rFonts w:ascii="Times New Roman" w:eastAsia="Times New Roman" w:hAnsi="Times New Roman" w:cs="Times New Roman"/>
          <w:i/>
          <w:iCs/>
        </w:rPr>
        <w:t>H&amp;M first fashion company to laun</w:t>
      </w:r>
      <w:r>
        <w:rPr>
          <w:rFonts w:ascii="Times New Roman" w:eastAsia="Times New Roman" w:hAnsi="Times New Roman" w:cs="Times New Roman"/>
          <w:i/>
          <w:iCs/>
        </w:rPr>
        <w:t>ch global clothes collecting initiative.</w:t>
      </w:r>
      <w:r>
        <w:rPr>
          <w:rFonts w:ascii="Times New Roman" w:eastAsia="Times New Roman" w:hAnsi="Times New Roman" w:cs="Times New Roman"/>
        </w:rPr>
        <w:t xml:space="preserve"> </w:t>
      </w:r>
      <w:hyperlink r:id="rId46">
        <w:r>
          <w:rPr>
            <w:rFonts w:ascii="Times New Roman" w:eastAsia="Times New Roman" w:hAnsi="Times New Roman" w:cs="Times New Roman"/>
            <w:color w:val="0000FF"/>
            <w:u w:val="single"/>
          </w:rPr>
          <w:t>https://hmgroup.com/news/hm-first-fashion-company-to-launch-global-clothes-</w:t>
        </w:r>
        <w:r>
          <w:rPr>
            <w:rFonts w:ascii="Times New Roman" w:eastAsia="Times New Roman" w:hAnsi="Times New Roman" w:cs="Times New Roman"/>
            <w:color w:val="0000FF"/>
            <w:u w:val="single"/>
          </w:rPr>
          <w:t>collecting-initiative/</w:t>
        </w:r>
      </w:hyperlink>
    </w:p>
    <w:p w14:paraId="0000023E" w14:textId="77777777" w:rsidR="00AB4CD0" w:rsidRDefault="004C12C0">
      <w:pPr>
        <w:spacing w:before="200"/>
        <w:ind w:left="360" w:hanging="360"/>
        <w:rPr>
          <w:rFonts w:ascii="Times New Roman" w:eastAsia="Times New Roman" w:hAnsi="Times New Roman" w:cs="Times New Roman"/>
          <w:i/>
          <w:iCs/>
          <w:highlight w:val="white"/>
        </w:rPr>
      </w:pPr>
      <w:proofErr w:type="spellStart"/>
      <w:r>
        <w:rPr>
          <w:rFonts w:ascii="Times New Roman" w:eastAsia="Times New Roman" w:hAnsi="Times New Roman" w:cs="Times New Roman"/>
          <w:highlight w:val="white"/>
        </w:rPr>
        <w:t>Hastreiter</w:t>
      </w:r>
      <w:proofErr w:type="spellEnd"/>
      <w:r>
        <w:rPr>
          <w:rFonts w:ascii="Times New Roman" w:eastAsia="Times New Roman" w:hAnsi="Times New Roman" w:cs="Times New Roman"/>
          <w:highlight w:val="white"/>
        </w:rPr>
        <w:t xml:space="preserve">, N. (2024) Can investor coalitions drive corporate climate action? </w:t>
      </w:r>
      <w:r>
        <w:rPr>
          <w:rFonts w:ascii="Times New Roman" w:eastAsia="Times New Roman" w:hAnsi="Times New Roman" w:cs="Times New Roman"/>
          <w:i/>
          <w:iCs/>
          <w:highlight w:val="white"/>
        </w:rPr>
        <w:t xml:space="preserve">Geography and </w:t>
      </w:r>
      <w:r>
        <w:rPr>
          <w:rFonts w:ascii="Times New Roman" w:eastAsia="Times New Roman" w:hAnsi="Times New Roman" w:cs="Times New Roman"/>
        </w:rPr>
        <w:t>Environment</w:t>
      </w:r>
      <w:r>
        <w:rPr>
          <w:rFonts w:ascii="Times New Roman" w:eastAsia="Times New Roman" w:hAnsi="Times New Roman" w:cs="Times New Roman"/>
          <w:i/>
          <w:iCs/>
          <w:highlight w:val="white"/>
        </w:rPr>
        <w:t xml:space="preserve"> Discussion Paper Series (49).</w:t>
      </w:r>
      <w:r>
        <w:rPr>
          <w:rFonts w:ascii="Times New Roman" w:eastAsia="Times New Roman" w:hAnsi="Times New Roman" w:cs="Times New Roman"/>
          <w:highlight w:val="white"/>
        </w:rPr>
        <w:t xml:space="preserve"> Department of Geography and Environment, The London School of Economics and Political Science, Lond</w:t>
      </w:r>
      <w:r>
        <w:rPr>
          <w:rFonts w:ascii="Times New Roman" w:eastAsia="Times New Roman" w:hAnsi="Times New Roman" w:cs="Times New Roman"/>
          <w:highlight w:val="white"/>
        </w:rPr>
        <w:t>on, UK.</w:t>
      </w:r>
    </w:p>
    <w:p w14:paraId="0000023F"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He, C., Ozturk, O. C., Gu, C., &amp; </w:t>
      </w:r>
      <w:proofErr w:type="spellStart"/>
      <w:r>
        <w:rPr>
          <w:rFonts w:ascii="Times New Roman" w:eastAsia="Times New Roman" w:hAnsi="Times New Roman" w:cs="Times New Roman"/>
        </w:rPr>
        <w:t>Chintagunta</w:t>
      </w:r>
      <w:proofErr w:type="spellEnd"/>
      <w:r>
        <w:rPr>
          <w:rFonts w:ascii="Times New Roman" w:eastAsia="Times New Roman" w:hAnsi="Times New Roman" w:cs="Times New Roman"/>
        </w:rPr>
        <w:t xml:space="preserve">, P. K. (2023). Consumer tax credits for EVs: Some quasi-experimental evidence on consumer demand, product substitution, and carbon emissions. </w:t>
      </w:r>
      <w:r>
        <w:rPr>
          <w:rFonts w:ascii="Times New Roman" w:eastAsia="Times New Roman" w:hAnsi="Times New Roman" w:cs="Times New Roman"/>
          <w:i/>
          <w:iCs/>
        </w:rPr>
        <w:t>Management Science, 69</w:t>
      </w:r>
      <w:r>
        <w:rPr>
          <w:rFonts w:ascii="Times New Roman" w:eastAsia="Times New Roman" w:hAnsi="Times New Roman" w:cs="Times New Roman"/>
        </w:rPr>
        <w:t>(12), 7759–7783.</w:t>
      </w:r>
    </w:p>
    <w:p w14:paraId="00000240"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He, C., Ozturk, O. C.,</w:t>
      </w:r>
      <w:r>
        <w:rPr>
          <w:rFonts w:ascii="Times New Roman" w:eastAsia="Times New Roman" w:hAnsi="Times New Roman" w:cs="Times New Roman"/>
        </w:rPr>
        <w:t xml:space="preserve"> Gu, C., &amp; Silva-</w:t>
      </w:r>
      <w:proofErr w:type="spellStart"/>
      <w:r>
        <w:rPr>
          <w:rFonts w:ascii="Times New Roman" w:eastAsia="Times New Roman" w:hAnsi="Times New Roman" w:cs="Times New Roman"/>
        </w:rPr>
        <w:t>Risso</w:t>
      </w:r>
      <w:proofErr w:type="spellEnd"/>
      <w:r>
        <w:rPr>
          <w:rFonts w:ascii="Times New Roman" w:eastAsia="Times New Roman" w:hAnsi="Times New Roman" w:cs="Times New Roman"/>
        </w:rPr>
        <w:t xml:space="preserve">, J. M. (2021). The end of the express road for hybrid vehicles: Can governments’ green product incentives backfire? </w:t>
      </w:r>
      <w:r>
        <w:rPr>
          <w:rFonts w:ascii="Times New Roman" w:eastAsia="Times New Roman" w:hAnsi="Times New Roman" w:cs="Times New Roman"/>
          <w:i/>
          <w:iCs/>
        </w:rPr>
        <w:t>Marketing Science, 40</w:t>
      </w:r>
      <w:r>
        <w:rPr>
          <w:rFonts w:ascii="Times New Roman" w:eastAsia="Times New Roman" w:hAnsi="Times New Roman" w:cs="Times New Roman"/>
        </w:rPr>
        <w:t>(1), 80–100.</w:t>
      </w:r>
    </w:p>
    <w:p w14:paraId="00000241"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Hofenk</w:t>
      </w:r>
      <w:proofErr w:type="spellEnd"/>
      <w:r>
        <w:rPr>
          <w:rFonts w:ascii="Times New Roman" w:eastAsia="Times New Roman" w:hAnsi="Times New Roman" w:cs="Times New Roman"/>
        </w:rPr>
        <w:t xml:space="preserve">, D., van </w:t>
      </w:r>
      <w:proofErr w:type="spellStart"/>
      <w:r>
        <w:rPr>
          <w:rFonts w:ascii="Times New Roman" w:eastAsia="Times New Roman" w:hAnsi="Times New Roman" w:cs="Times New Roman"/>
        </w:rPr>
        <w:t>Birgelen</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Bloemer</w:t>
      </w:r>
      <w:proofErr w:type="spellEnd"/>
      <w:r>
        <w:rPr>
          <w:rFonts w:ascii="Times New Roman" w:eastAsia="Times New Roman" w:hAnsi="Times New Roman" w:cs="Times New Roman"/>
        </w:rPr>
        <w:t xml:space="preserve">, J., &amp; </w:t>
      </w:r>
      <w:proofErr w:type="spellStart"/>
      <w:r>
        <w:rPr>
          <w:rFonts w:ascii="Times New Roman" w:eastAsia="Times New Roman" w:hAnsi="Times New Roman" w:cs="Times New Roman"/>
        </w:rPr>
        <w:t>Semeijn</w:t>
      </w:r>
      <w:proofErr w:type="spellEnd"/>
      <w:r>
        <w:rPr>
          <w:rFonts w:ascii="Times New Roman" w:eastAsia="Times New Roman" w:hAnsi="Times New Roman" w:cs="Times New Roman"/>
        </w:rPr>
        <w:t>, J. (2019). How and when retai</w:t>
      </w:r>
      <w:r>
        <w:rPr>
          <w:rFonts w:ascii="Times New Roman" w:eastAsia="Times New Roman" w:hAnsi="Times New Roman" w:cs="Times New Roman"/>
        </w:rPr>
        <w:t xml:space="preserve">lers’ sustainability efforts translate into positive consumer responses: the interplay between personal and social factors. </w:t>
      </w:r>
      <w:r>
        <w:rPr>
          <w:rFonts w:ascii="Times New Roman" w:eastAsia="Times New Roman" w:hAnsi="Times New Roman" w:cs="Times New Roman"/>
          <w:i/>
          <w:iCs/>
        </w:rPr>
        <w:t>Journal of Business Ethics, 156</w:t>
      </w:r>
      <w:r>
        <w:rPr>
          <w:rFonts w:ascii="Times New Roman" w:eastAsia="Times New Roman" w:hAnsi="Times New Roman" w:cs="Times New Roman"/>
        </w:rPr>
        <w:t>(2), 473-492.</w:t>
      </w:r>
    </w:p>
    <w:p w14:paraId="00000242"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Hoffmann, S., &amp; </w:t>
      </w:r>
      <w:proofErr w:type="spellStart"/>
      <w:r>
        <w:rPr>
          <w:rFonts w:ascii="Times New Roman" w:eastAsia="Times New Roman" w:hAnsi="Times New Roman" w:cs="Times New Roman"/>
        </w:rPr>
        <w:t>Hutter</w:t>
      </w:r>
      <w:proofErr w:type="spellEnd"/>
      <w:r>
        <w:rPr>
          <w:rFonts w:ascii="Times New Roman" w:eastAsia="Times New Roman" w:hAnsi="Times New Roman" w:cs="Times New Roman"/>
        </w:rPr>
        <w:t xml:space="preserve">, K. (2012). </w:t>
      </w:r>
      <w:proofErr w:type="spellStart"/>
      <w:r>
        <w:rPr>
          <w:rFonts w:ascii="Times New Roman" w:eastAsia="Times New Roman" w:hAnsi="Times New Roman" w:cs="Times New Roman"/>
        </w:rPr>
        <w:t>Carrotmob</w:t>
      </w:r>
      <w:proofErr w:type="spellEnd"/>
      <w:r>
        <w:rPr>
          <w:rFonts w:ascii="Times New Roman" w:eastAsia="Times New Roman" w:hAnsi="Times New Roman" w:cs="Times New Roman"/>
        </w:rPr>
        <w:t xml:space="preserve"> as a new form of ethical consumption. The </w:t>
      </w:r>
      <w:r>
        <w:rPr>
          <w:rFonts w:ascii="Times New Roman" w:eastAsia="Times New Roman" w:hAnsi="Times New Roman" w:cs="Times New Roman"/>
        </w:rPr>
        <w:t xml:space="preserve">nature of the concept and avenues for future research. </w:t>
      </w:r>
      <w:r>
        <w:rPr>
          <w:rFonts w:ascii="Times New Roman" w:eastAsia="Times New Roman" w:hAnsi="Times New Roman" w:cs="Times New Roman"/>
          <w:i/>
          <w:iCs/>
        </w:rPr>
        <w:t>Journal of Consumer Policy, 35,</w:t>
      </w:r>
      <w:r>
        <w:rPr>
          <w:rFonts w:ascii="Times New Roman" w:eastAsia="Times New Roman" w:hAnsi="Times New Roman" w:cs="Times New Roman"/>
        </w:rPr>
        <w:t xml:space="preserve"> 215–236.</w:t>
      </w:r>
    </w:p>
    <w:p w14:paraId="00000243"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Hogreve</w:t>
      </w:r>
      <w:proofErr w:type="spellEnd"/>
      <w:r>
        <w:rPr>
          <w:rFonts w:ascii="Times New Roman" w:eastAsia="Times New Roman" w:hAnsi="Times New Roman" w:cs="Times New Roman"/>
        </w:rPr>
        <w:t xml:space="preserve">, J., Matta, S., Hettich, A. S., &amp; </w:t>
      </w:r>
      <w:proofErr w:type="spellStart"/>
      <w:r>
        <w:rPr>
          <w:rFonts w:ascii="Times New Roman" w:eastAsia="Times New Roman" w:hAnsi="Times New Roman" w:cs="Times New Roman"/>
        </w:rPr>
        <w:t>Reczek</w:t>
      </w:r>
      <w:proofErr w:type="spellEnd"/>
      <w:r>
        <w:rPr>
          <w:rFonts w:ascii="Times New Roman" w:eastAsia="Times New Roman" w:hAnsi="Times New Roman" w:cs="Times New Roman"/>
        </w:rPr>
        <w:t>, R. W. (2021). How do social norms influence parents’ food choices for their children? The role of social compa</w:t>
      </w:r>
      <w:r>
        <w:rPr>
          <w:rFonts w:ascii="Times New Roman" w:eastAsia="Times New Roman" w:hAnsi="Times New Roman" w:cs="Times New Roman"/>
        </w:rPr>
        <w:t xml:space="preserve">rison and implicit self-theories. </w:t>
      </w:r>
      <w:r>
        <w:rPr>
          <w:rFonts w:ascii="Times New Roman" w:eastAsia="Times New Roman" w:hAnsi="Times New Roman" w:cs="Times New Roman"/>
          <w:i/>
          <w:iCs/>
        </w:rPr>
        <w:t>Journal of Retailing</w:t>
      </w:r>
      <w:r>
        <w:rPr>
          <w:rFonts w:ascii="Times New Roman" w:eastAsia="Times New Roman" w:hAnsi="Times New Roman" w:cs="Times New Roman"/>
        </w:rPr>
        <w:t xml:space="preserve">, </w:t>
      </w:r>
      <w:r>
        <w:rPr>
          <w:rFonts w:ascii="Times New Roman" w:eastAsia="Times New Roman" w:hAnsi="Times New Roman" w:cs="Times New Roman"/>
          <w:i/>
          <w:iCs/>
        </w:rPr>
        <w:t>97</w:t>
      </w:r>
      <w:r>
        <w:rPr>
          <w:rFonts w:ascii="Times New Roman" w:eastAsia="Times New Roman" w:hAnsi="Times New Roman" w:cs="Times New Roman"/>
        </w:rPr>
        <w:t>(2), 173-190.</w:t>
      </w:r>
    </w:p>
    <w:p w14:paraId="00000244"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Holtrop</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Lobschat</w:t>
      </w:r>
      <w:proofErr w:type="spellEnd"/>
      <w:r>
        <w:rPr>
          <w:rFonts w:ascii="Times New Roman" w:eastAsia="Times New Roman" w:hAnsi="Times New Roman" w:cs="Times New Roman"/>
        </w:rPr>
        <w:t xml:space="preserve">, L., &amp; </w:t>
      </w:r>
      <w:proofErr w:type="spellStart"/>
      <w:r>
        <w:rPr>
          <w:rFonts w:ascii="Times New Roman" w:eastAsia="Times New Roman" w:hAnsi="Times New Roman" w:cs="Times New Roman"/>
        </w:rPr>
        <w:t>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Braak</w:t>
      </w:r>
      <w:proofErr w:type="spellEnd"/>
      <w:r>
        <w:rPr>
          <w:rFonts w:ascii="Times New Roman" w:eastAsia="Times New Roman" w:hAnsi="Times New Roman" w:cs="Times New Roman"/>
        </w:rPr>
        <w:t xml:space="preserve">, A. (2025). Paving the way for responsible retailing. </w:t>
      </w:r>
      <w:r>
        <w:rPr>
          <w:rFonts w:ascii="Times New Roman" w:eastAsia="Times New Roman" w:hAnsi="Times New Roman" w:cs="Times New Roman"/>
          <w:i/>
          <w:iCs/>
        </w:rPr>
        <w:t>Journal of Retailing, 101</w:t>
      </w:r>
      <w:r>
        <w:rPr>
          <w:rFonts w:ascii="Times New Roman" w:eastAsia="Times New Roman" w:hAnsi="Times New Roman" w:cs="Times New Roman"/>
        </w:rPr>
        <w:t>(1), 1.</w:t>
      </w:r>
    </w:p>
    <w:p w14:paraId="00000245"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Huang, Y. K., &amp; Woodward, R. T. (2022). Spillover effects </w:t>
      </w:r>
      <w:r>
        <w:rPr>
          <w:rFonts w:ascii="Times New Roman" w:eastAsia="Times New Roman" w:hAnsi="Times New Roman" w:cs="Times New Roman"/>
        </w:rPr>
        <w:t xml:space="preserve">of grocery bag legislation: Evidence of bag bans and bag fees. </w:t>
      </w:r>
      <w:r>
        <w:rPr>
          <w:rFonts w:ascii="Times New Roman" w:eastAsia="Times New Roman" w:hAnsi="Times New Roman" w:cs="Times New Roman"/>
          <w:i/>
          <w:iCs/>
        </w:rPr>
        <w:t>Environmental and Resource Economics, 81</w:t>
      </w:r>
      <w:r>
        <w:rPr>
          <w:rFonts w:ascii="Times New Roman" w:eastAsia="Times New Roman" w:hAnsi="Times New Roman" w:cs="Times New Roman"/>
        </w:rPr>
        <w:t>(4), 711–741.</w:t>
      </w:r>
    </w:p>
    <w:p w14:paraId="00000246"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Ivanova, D., Barrett, J., </w:t>
      </w:r>
      <w:proofErr w:type="spellStart"/>
      <w:r>
        <w:rPr>
          <w:rFonts w:ascii="Times New Roman" w:eastAsia="Times New Roman" w:hAnsi="Times New Roman" w:cs="Times New Roman"/>
        </w:rPr>
        <w:t>Wiedenhofer</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Macura</w:t>
      </w:r>
      <w:proofErr w:type="spellEnd"/>
      <w:r>
        <w:rPr>
          <w:rFonts w:ascii="Times New Roman" w:eastAsia="Times New Roman" w:hAnsi="Times New Roman" w:cs="Times New Roman"/>
        </w:rPr>
        <w:t xml:space="preserve">, B., Callaghan, M., &amp; </w:t>
      </w:r>
      <w:proofErr w:type="spellStart"/>
      <w:r>
        <w:rPr>
          <w:rFonts w:ascii="Times New Roman" w:eastAsia="Times New Roman" w:hAnsi="Times New Roman" w:cs="Times New Roman"/>
        </w:rPr>
        <w:t>Creutzig</w:t>
      </w:r>
      <w:proofErr w:type="spellEnd"/>
      <w:r>
        <w:rPr>
          <w:rFonts w:ascii="Times New Roman" w:eastAsia="Times New Roman" w:hAnsi="Times New Roman" w:cs="Times New Roman"/>
        </w:rPr>
        <w:t>, F. (2020). Quantifying the potential for climate change m</w:t>
      </w:r>
      <w:r>
        <w:rPr>
          <w:rFonts w:ascii="Times New Roman" w:eastAsia="Times New Roman" w:hAnsi="Times New Roman" w:cs="Times New Roman"/>
        </w:rPr>
        <w:t xml:space="preserve">itigation of consumption options. </w:t>
      </w:r>
      <w:r>
        <w:rPr>
          <w:rFonts w:ascii="Times New Roman" w:eastAsia="Times New Roman" w:hAnsi="Times New Roman" w:cs="Times New Roman"/>
          <w:i/>
          <w:iCs/>
        </w:rPr>
        <w:t>Environmental Research Letters</w:t>
      </w:r>
      <w:r>
        <w:rPr>
          <w:rFonts w:ascii="Times New Roman" w:eastAsia="Times New Roman" w:hAnsi="Times New Roman" w:cs="Times New Roman"/>
        </w:rPr>
        <w:t>, </w:t>
      </w:r>
      <w:r>
        <w:rPr>
          <w:rFonts w:ascii="Times New Roman" w:eastAsia="Times New Roman" w:hAnsi="Times New Roman" w:cs="Times New Roman"/>
          <w:i/>
          <w:iCs/>
        </w:rPr>
        <w:t>15</w:t>
      </w:r>
      <w:r>
        <w:rPr>
          <w:rFonts w:ascii="Times New Roman" w:eastAsia="Times New Roman" w:hAnsi="Times New Roman" w:cs="Times New Roman"/>
        </w:rPr>
        <w:t>(9), 093001.</w:t>
      </w:r>
    </w:p>
    <w:p w14:paraId="00000247"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Jansson, J., </w:t>
      </w:r>
      <w:proofErr w:type="spellStart"/>
      <w:r>
        <w:rPr>
          <w:rFonts w:ascii="Times New Roman" w:eastAsia="Times New Roman" w:hAnsi="Times New Roman" w:cs="Times New Roman"/>
        </w:rPr>
        <w:t>Marell</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Nordlund</w:t>
      </w:r>
      <w:proofErr w:type="spellEnd"/>
      <w:r>
        <w:rPr>
          <w:rFonts w:ascii="Times New Roman" w:eastAsia="Times New Roman" w:hAnsi="Times New Roman" w:cs="Times New Roman"/>
        </w:rPr>
        <w:t xml:space="preserve">, A. (2010). Green consumer behavior: determinants of curtailment and eco‐innovation adoption. </w:t>
      </w:r>
      <w:r>
        <w:rPr>
          <w:rFonts w:ascii="Times New Roman" w:eastAsia="Times New Roman" w:hAnsi="Times New Roman" w:cs="Times New Roman"/>
          <w:i/>
          <w:iCs/>
        </w:rPr>
        <w:t>Journal of Consumer Marketing, 27</w:t>
      </w:r>
      <w:r>
        <w:rPr>
          <w:rFonts w:ascii="Times New Roman" w:eastAsia="Times New Roman" w:hAnsi="Times New Roman" w:cs="Times New Roman"/>
        </w:rPr>
        <w:t xml:space="preserve">(4), 358-370. </w:t>
      </w:r>
    </w:p>
    <w:p w14:paraId="00000248"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Karmarkar</w:t>
      </w:r>
      <w:proofErr w:type="spellEnd"/>
      <w:r>
        <w:rPr>
          <w:rFonts w:ascii="Times New Roman" w:eastAsia="Times New Roman" w:hAnsi="Times New Roman" w:cs="Times New Roman"/>
        </w:rPr>
        <w:t xml:space="preserve">, U. R., &amp; Bollinger, B. (2015). BYOB: How bringing your own shopping bags leads to treating yourself and the environment. </w:t>
      </w:r>
      <w:r>
        <w:rPr>
          <w:rFonts w:ascii="Times New Roman" w:eastAsia="Times New Roman" w:hAnsi="Times New Roman" w:cs="Times New Roman"/>
          <w:i/>
          <w:iCs/>
        </w:rPr>
        <w:t>Journal of Marketing, 79</w:t>
      </w:r>
      <w:r>
        <w:rPr>
          <w:rFonts w:ascii="Times New Roman" w:eastAsia="Times New Roman" w:hAnsi="Times New Roman" w:cs="Times New Roman"/>
        </w:rPr>
        <w:t>(4), 1–15.</w:t>
      </w:r>
    </w:p>
    <w:p w14:paraId="00000249"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Kilbourne, W. E., &amp; Beckmann, S. C. (1998). Review and critical assessment</w:t>
      </w:r>
      <w:r>
        <w:rPr>
          <w:rFonts w:ascii="Times New Roman" w:eastAsia="Times New Roman" w:hAnsi="Times New Roman" w:cs="Times New Roman"/>
        </w:rPr>
        <w:t xml:space="preserve"> of research on marketing and the environment. </w:t>
      </w:r>
      <w:r>
        <w:rPr>
          <w:rFonts w:ascii="Times New Roman" w:eastAsia="Times New Roman" w:hAnsi="Times New Roman" w:cs="Times New Roman"/>
          <w:i/>
          <w:iCs/>
        </w:rPr>
        <w:t>Journal of Marketing Management, 14</w:t>
      </w:r>
      <w:r>
        <w:rPr>
          <w:rFonts w:ascii="Times New Roman" w:eastAsia="Times New Roman" w:hAnsi="Times New Roman" w:cs="Times New Roman"/>
        </w:rPr>
        <w:t>(6), 513–532.</w:t>
      </w:r>
    </w:p>
    <w:p w14:paraId="0000024A" w14:textId="77777777" w:rsidR="00AB4CD0" w:rsidRDefault="004C12C0">
      <w:pPr>
        <w:spacing w:before="200"/>
        <w:ind w:left="360" w:hanging="360"/>
        <w:rPr>
          <w:rFonts w:ascii="Times New Roman" w:eastAsia="Times New Roman" w:hAnsi="Times New Roman" w:cs="Times New Roman"/>
          <w:u w:val="single"/>
        </w:rPr>
      </w:pPr>
      <w:r>
        <w:rPr>
          <w:rFonts w:ascii="Times New Roman" w:eastAsia="Times New Roman" w:hAnsi="Times New Roman" w:cs="Times New Roman"/>
        </w:rPr>
        <w:lastRenderedPageBreak/>
        <w:t xml:space="preserve">Klein, J. G., Smith, N. C., &amp; John, A. (2004). Why we boycott: Consumer motivations for boycott participation. </w:t>
      </w:r>
      <w:r>
        <w:rPr>
          <w:rFonts w:ascii="Times New Roman" w:eastAsia="Times New Roman" w:hAnsi="Times New Roman" w:cs="Times New Roman"/>
          <w:i/>
          <w:iCs/>
        </w:rPr>
        <w:t>Journal of Marketing, 68</w:t>
      </w:r>
      <w:r>
        <w:rPr>
          <w:rFonts w:ascii="Times New Roman" w:eastAsia="Times New Roman" w:hAnsi="Times New Roman" w:cs="Times New Roman"/>
        </w:rPr>
        <w:t>(3), 92–109.</w:t>
      </w:r>
    </w:p>
    <w:p w14:paraId="0000024B" w14:textId="77777777" w:rsidR="00AB4CD0" w:rsidRDefault="004C12C0">
      <w:pPr>
        <w:spacing w:before="200"/>
        <w:ind w:left="360" w:hanging="360"/>
        <w:rPr>
          <w:rFonts w:ascii="Times New Roman" w:eastAsia="Times New Roman" w:hAnsi="Times New Roman" w:cs="Times New Roman"/>
          <w:shd w:val="clear" w:color="auto" w:fill="FCFCFC"/>
        </w:rPr>
      </w:pPr>
      <w:r>
        <w:rPr>
          <w:rFonts w:ascii="Times New Roman" w:eastAsia="Times New Roman" w:hAnsi="Times New Roman" w:cs="Times New Roman"/>
        </w:rPr>
        <w:t xml:space="preserve">Koku, P. S. </w:t>
      </w:r>
      <w:r>
        <w:rPr>
          <w:rFonts w:ascii="Times New Roman" w:eastAsia="Times New Roman" w:hAnsi="Times New Roman" w:cs="Times New Roman"/>
        </w:rPr>
        <w:t xml:space="preserve">(2012). On the effectiveness of consumer boycotts organized through the internet: The Market Model. </w:t>
      </w:r>
      <w:r>
        <w:rPr>
          <w:rFonts w:ascii="Times New Roman" w:eastAsia="Times New Roman" w:hAnsi="Times New Roman" w:cs="Times New Roman"/>
          <w:i/>
          <w:iCs/>
        </w:rPr>
        <w:t>Journal of Services Marketing, 26</w:t>
      </w:r>
      <w:r>
        <w:rPr>
          <w:rFonts w:ascii="Times New Roman" w:eastAsia="Times New Roman" w:hAnsi="Times New Roman" w:cs="Times New Roman"/>
        </w:rPr>
        <w:t>(1), 20–26.</w:t>
      </w:r>
    </w:p>
    <w:p w14:paraId="0000024C"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Kotzian</w:t>
      </w:r>
      <w:proofErr w:type="spellEnd"/>
      <w:r>
        <w:rPr>
          <w:rFonts w:ascii="Times New Roman" w:eastAsia="Times New Roman" w:hAnsi="Times New Roman" w:cs="Times New Roman"/>
        </w:rPr>
        <w:t xml:space="preserve">, P. (2024). Firms' sustainability engagement and sustainability-related controversies. </w:t>
      </w:r>
      <w:r>
        <w:rPr>
          <w:rFonts w:ascii="Times New Roman" w:eastAsia="Times New Roman" w:hAnsi="Times New Roman" w:cs="Times New Roman"/>
          <w:i/>
          <w:iCs/>
        </w:rPr>
        <w:t>Business Strateg</w:t>
      </w:r>
      <w:r>
        <w:rPr>
          <w:rFonts w:ascii="Times New Roman" w:eastAsia="Times New Roman" w:hAnsi="Times New Roman" w:cs="Times New Roman"/>
          <w:i/>
          <w:iCs/>
        </w:rPr>
        <w:t>y and the Environment, 33</w:t>
      </w:r>
      <w:r>
        <w:rPr>
          <w:rFonts w:ascii="Times New Roman" w:eastAsia="Times New Roman" w:hAnsi="Times New Roman" w:cs="Times New Roman"/>
        </w:rPr>
        <w:t>(3), 1610–1625.</w:t>
      </w:r>
    </w:p>
    <w:p w14:paraId="0000024D"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Kountouris</w:t>
      </w:r>
      <w:proofErr w:type="spellEnd"/>
      <w:r>
        <w:rPr>
          <w:rFonts w:ascii="Times New Roman" w:eastAsia="Times New Roman" w:hAnsi="Times New Roman" w:cs="Times New Roman"/>
        </w:rPr>
        <w:t xml:space="preserve">, Y., &amp; Williams, E. (2023). Do protests influence environmental attitudes? Evidence from Extinction Rebellion. </w:t>
      </w:r>
      <w:r>
        <w:rPr>
          <w:rFonts w:ascii="Times New Roman" w:eastAsia="Times New Roman" w:hAnsi="Times New Roman" w:cs="Times New Roman"/>
          <w:i/>
          <w:iCs/>
        </w:rPr>
        <w:t>Environmental Research Communications, 5</w:t>
      </w:r>
      <w:r>
        <w:rPr>
          <w:rFonts w:ascii="Times New Roman" w:eastAsia="Times New Roman" w:hAnsi="Times New Roman" w:cs="Times New Roman"/>
        </w:rPr>
        <w:t>(1), 011003.</w:t>
      </w:r>
    </w:p>
    <w:p w14:paraId="0000024E" w14:textId="77777777" w:rsidR="00AB4CD0" w:rsidRPr="006710D8" w:rsidRDefault="004C12C0">
      <w:pPr>
        <w:spacing w:before="200"/>
        <w:ind w:left="360" w:hanging="360"/>
        <w:rPr>
          <w:rFonts w:ascii="Times New Roman" w:eastAsia="Times New Roman" w:hAnsi="Times New Roman" w:cs="Times New Roman"/>
          <w:lang w:val="it-IT"/>
        </w:rPr>
      </w:pPr>
      <w:r>
        <w:rPr>
          <w:rFonts w:ascii="Times New Roman" w:eastAsia="Times New Roman" w:hAnsi="Times New Roman" w:cs="Times New Roman"/>
        </w:rPr>
        <w:t xml:space="preserve">Kraft-Todd, G. T., Bollinger, B., </w:t>
      </w:r>
      <w:proofErr w:type="spellStart"/>
      <w:r>
        <w:rPr>
          <w:rFonts w:ascii="Times New Roman" w:eastAsia="Times New Roman" w:hAnsi="Times New Roman" w:cs="Times New Roman"/>
        </w:rPr>
        <w:t>Gillin</w:t>
      </w:r>
      <w:r>
        <w:rPr>
          <w:rFonts w:ascii="Times New Roman" w:eastAsia="Times New Roman" w:hAnsi="Times New Roman" w:cs="Times New Roman"/>
        </w:rPr>
        <w:t>gham</w:t>
      </w:r>
      <w:proofErr w:type="spellEnd"/>
      <w:r>
        <w:rPr>
          <w:rFonts w:ascii="Times New Roman" w:eastAsia="Times New Roman" w:hAnsi="Times New Roman" w:cs="Times New Roman"/>
        </w:rPr>
        <w:t xml:space="preserve">, K., Lamp, S., &amp; Rand, D. G. (2018). Credibility-enhancing displays promote the provision of non-normative public goods. </w:t>
      </w:r>
      <w:r w:rsidRPr="006710D8">
        <w:rPr>
          <w:rFonts w:ascii="Times New Roman" w:eastAsia="Times New Roman" w:hAnsi="Times New Roman" w:cs="Times New Roman"/>
          <w:i/>
          <w:iCs/>
          <w:lang w:val="it-IT"/>
        </w:rPr>
        <w:t>Nature, 563</w:t>
      </w:r>
      <w:r w:rsidRPr="006710D8">
        <w:rPr>
          <w:rFonts w:ascii="Times New Roman" w:eastAsia="Times New Roman" w:hAnsi="Times New Roman" w:cs="Times New Roman"/>
          <w:lang w:val="it-IT"/>
        </w:rPr>
        <w:t>(7730), 245–248.</w:t>
      </w:r>
    </w:p>
    <w:p w14:paraId="0000024F" w14:textId="77777777" w:rsidR="00AB4CD0" w:rsidRDefault="004C12C0">
      <w:pPr>
        <w:spacing w:before="200"/>
        <w:ind w:left="360" w:hanging="360"/>
        <w:rPr>
          <w:rFonts w:ascii="Times New Roman" w:eastAsia="Times New Roman" w:hAnsi="Times New Roman" w:cs="Times New Roman"/>
        </w:rPr>
      </w:pPr>
      <w:proofErr w:type="spellStart"/>
      <w:r w:rsidRPr="006710D8">
        <w:rPr>
          <w:rFonts w:ascii="Times New Roman" w:eastAsia="Times New Roman" w:hAnsi="Times New Roman" w:cs="Times New Roman"/>
          <w:lang w:val="it-IT"/>
        </w:rPr>
        <w:t>Kumari</w:t>
      </w:r>
      <w:proofErr w:type="spellEnd"/>
      <w:r w:rsidRPr="006710D8">
        <w:rPr>
          <w:rFonts w:ascii="Times New Roman" w:eastAsia="Times New Roman" w:hAnsi="Times New Roman" w:cs="Times New Roman"/>
          <w:lang w:val="it-IT"/>
        </w:rPr>
        <w:t xml:space="preserve">, R., </w:t>
      </w:r>
      <w:proofErr w:type="spellStart"/>
      <w:r w:rsidRPr="006710D8">
        <w:rPr>
          <w:rFonts w:ascii="Times New Roman" w:eastAsia="Times New Roman" w:hAnsi="Times New Roman" w:cs="Times New Roman"/>
          <w:lang w:val="it-IT"/>
        </w:rPr>
        <w:t>Verma</w:t>
      </w:r>
      <w:proofErr w:type="spellEnd"/>
      <w:r w:rsidRPr="006710D8">
        <w:rPr>
          <w:rFonts w:ascii="Times New Roman" w:eastAsia="Times New Roman" w:hAnsi="Times New Roman" w:cs="Times New Roman"/>
          <w:lang w:val="it-IT"/>
        </w:rPr>
        <w:t xml:space="preserve">, R., </w:t>
      </w:r>
      <w:proofErr w:type="spellStart"/>
      <w:r w:rsidRPr="006710D8">
        <w:rPr>
          <w:rFonts w:ascii="Times New Roman" w:eastAsia="Times New Roman" w:hAnsi="Times New Roman" w:cs="Times New Roman"/>
          <w:lang w:val="it-IT"/>
        </w:rPr>
        <w:t>Debata</w:t>
      </w:r>
      <w:proofErr w:type="spellEnd"/>
      <w:r w:rsidRPr="006710D8">
        <w:rPr>
          <w:rFonts w:ascii="Times New Roman" w:eastAsia="Times New Roman" w:hAnsi="Times New Roman" w:cs="Times New Roman"/>
          <w:lang w:val="it-IT"/>
        </w:rPr>
        <w:t xml:space="preserve">, B. R., &amp; </w:t>
      </w:r>
      <w:proofErr w:type="spellStart"/>
      <w:r w:rsidRPr="006710D8">
        <w:rPr>
          <w:rFonts w:ascii="Times New Roman" w:eastAsia="Times New Roman" w:hAnsi="Times New Roman" w:cs="Times New Roman"/>
          <w:lang w:val="it-IT"/>
        </w:rPr>
        <w:t>Ting</w:t>
      </w:r>
      <w:proofErr w:type="spellEnd"/>
      <w:r w:rsidRPr="006710D8">
        <w:rPr>
          <w:rFonts w:ascii="Times New Roman" w:eastAsia="Times New Roman" w:hAnsi="Times New Roman" w:cs="Times New Roman"/>
          <w:lang w:val="it-IT"/>
        </w:rPr>
        <w:t xml:space="preserve">, H. (2022). </w:t>
      </w:r>
      <w:r>
        <w:rPr>
          <w:rFonts w:ascii="Times New Roman" w:eastAsia="Times New Roman" w:hAnsi="Times New Roman" w:cs="Times New Roman"/>
        </w:rPr>
        <w:t>A systematic literature review on the enabler</w:t>
      </w:r>
      <w:r>
        <w:rPr>
          <w:rFonts w:ascii="Times New Roman" w:eastAsia="Times New Roman" w:hAnsi="Times New Roman" w:cs="Times New Roman"/>
        </w:rPr>
        <w:t xml:space="preserve">s of green marketing adoption: Consumer perspective. </w:t>
      </w:r>
      <w:r>
        <w:rPr>
          <w:rFonts w:ascii="Times New Roman" w:eastAsia="Times New Roman" w:hAnsi="Times New Roman" w:cs="Times New Roman"/>
          <w:i/>
          <w:iCs/>
        </w:rPr>
        <w:t>Journal of Cleaner Production, 366</w:t>
      </w:r>
      <w:r>
        <w:rPr>
          <w:rFonts w:ascii="Times New Roman" w:eastAsia="Times New Roman" w:hAnsi="Times New Roman" w:cs="Times New Roman"/>
        </w:rPr>
        <w:t xml:space="preserve">, 132852. </w:t>
      </w:r>
    </w:p>
    <w:p w14:paraId="00000250"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Lavorata</w:t>
      </w:r>
      <w:proofErr w:type="spellEnd"/>
      <w:r>
        <w:rPr>
          <w:rFonts w:ascii="Times New Roman" w:eastAsia="Times New Roman" w:hAnsi="Times New Roman" w:cs="Times New Roman"/>
        </w:rPr>
        <w:t>, L. (2014). Influence of retailers’ commitment to sustainable development on store image, consumer loyalty and consumer boycotts: Proposal for a mode</w:t>
      </w:r>
      <w:r>
        <w:rPr>
          <w:rFonts w:ascii="Times New Roman" w:eastAsia="Times New Roman" w:hAnsi="Times New Roman" w:cs="Times New Roman"/>
        </w:rPr>
        <w:t xml:space="preserve">l using the theory of planned behavior. </w:t>
      </w:r>
      <w:r>
        <w:rPr>
          <w:rFonts w:ascii="Times New Roman" w:eastAsia="Times New Roman" w:hAnsi="Times New Roman" w:cs="Times New Roman"/>
          <w:i/>
          <w:iCs/>
        </w:rPr>
        <w:t>Journal of Retailing and Consumer Services, 21</w:t>
      </w:r>
      <w:r>
        <w:rPr>
          <w:rFonts w:ascii="Times New Roman" w:eastAsia="Times New Roman" w:hAnsi="Times New Roman" w:cs="Times New Roman"/>
        </w:rPr>
        <w:t>(6), 1021-1027.</w:t>
      </w:r>
    </w:p>
    <w:p w14:paraId="00000251"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Lee, K. (2008). Opportunities for green marketing: Young consumers. </w:t>
      </w:r>
      <w:r>
        <w:rPr>
          <w:rFonts w:ascii="Times New Roman" w:eastAsia="Times New Roman" w:hAnsi="Times New Roman" w:cs="Times New Roman"/>
          <w:i/>
          <w:iCs/>
        </w:rPr>
        <w:t>Marketing Intelligence &amp; Planning, 26</w:t>
      </w:r>
      <w:r>
        <w:rPr>
          <w:rFonts w:ascii="Times New Roman" w:eastAsia="Times New Roman" w:hAnsi="Times New Roman" w:cs="Times New Roman"/>
        </w:rPr>
        <w:t>(6), 573–586.</w:t>
      </w:r>
    </w:p>
    <w:p w14:paraId="00000252"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Lembregts</w:t>
      </w:r>
      <w:proofErr w:type="spellEnd"/>
      <w:r>
        <w:rPr>
          <w:rFonts w:ascii="Times New Roman" w:eastAsia="Times New Roman" w:hAnsi="Times New Roman" w:cs="Times New Roman"/>
        </w:rPr>
        <w:t xml:space="preserve">, C., &amp; </w:t>
      </w:r>
      <w:proofErr w:type="spellStart"/>
      <w:r>
        <w:rPr>
          <w:rFonts w:ascii="Times New Roman" w:eastAsia="Times New Roman" w:hAnsi="Times New Roman" w:cs="Times New Roman"/>
        </w:rPr>
        <w:t>Cadario</w:t>
      </w:r>
      <w:proofErr w:type="spellEnd"/>
      <w:r>
        <w:rPr>
          <w:rFonts w:ascii="Times New Roman" w:eastAsia="Times New Roman" w:hAnsi="Times New Roman" w:cs="Times New Roman"/>
        </w:rPr>
        <w:t>, R. (2024)</w:t>
      </w:r>
      <w:r>
        <w:rPr>
          <w:rFonts w:ascii="Times New Roman" w:eastAsia="Times New Roman" w:hAnsi="Times New Roman" w:cs="Times New Roman"/>
        </w:rPr>
        <w:t>. Consumer-driven climate mitigation: Exploring barriers and solutions in studying higher mitigation potential behaviors.</w:t>
      </w:r>
      <w:r>
        <w:rPr>
          <w:rFonts w:ascii="Times New Roman" w:eastAsia="Times New Roman" w:hAnsi="Times New Roman" w:cs="Times New Roman"/>
          <w:i/>
          <w:iCs/>
        </w:rPr>
        <w:t xml:space="preserve"> International Journal of Research in Marketing, 41</w:t>
      </w:r>
      <w:r>
        <w:rPr>
          <w:rFonts w:ascii="Times New Roman" w:eastAsia="Times New Roman" w:hAnsi="Times New Roman" w:cs="Times New Roman"/>
        </w:rPr>
        <w:t>(3), 513-528.</w:t>
      </w:r>
    </w:p>
    <w:p w14:paraId="00000253"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Liaukonytė</w:t>
      </w:r>
      <w:proofErr w:type="spellEnd"/>
      <w:r>
        <w:rPr>
          <w:rFonts w:ascii="Times New Roman" w:eastAsia="Times New Roman" w:hAnsi="Times New Roman" w:cs="Times New Roman"/>
        </w:rPr>
        <w:t>, J., Tuchman, A., &amp; Zhu, X. (2023). Frontiers: Spilling the</w:t>
      </w:r>
      <w:r>
        <w:rPr>
          <w:rFonts w:ascii="Times New Roman" w:eastAsia="Times New Roman" w:hAnsi="Times New Roman" w:cs="Times New Roman"/>
        </w:rPr>
        <w:t xml:space="preserve"> beans on political consumerism: Do social media boycotts and </w:t>
      </w:r>
      <w:proofErr w:type="spellStart"/>
      <w:r>
        <w:rPr>
          <w:rFonts w:ascii="Times New Roman" w:eastAsia="Times New Roman" w:hAnsi="Times New Roman" w:cs="Times New Roman"/>
        </w:rPr>
        <w:t>buycotts</w:t>
      </w:r>
      <w:proofErr w:type="spellEnd"/>
      <w:r>
        <w:rPr>
          <w:rFonts w:ascii="Times New Roman" w:eastAsia="Times New Roman" w:hAnsi="Times New Roman" w:cs="Times New Roman"/>
        </w:rPr>
        <w:t xml:space="preserve"> translate to real sales impact? </w:t>
      </w:r>
      <w:r>
        <w:rPr>
          <w:rFonts w:ascii="Times New Roman" w:eastAsia="Times New Roman" w:hAnsi="Times New Roman" w:cs="Times New Roman"/>
          <w:i/>
          <w:iCs/>
        </w:rPr>
        <w:t>Marketing Science, 42</w:t>
      </w:r>
      <w:r>
        <w:rPr>
          <w:rFonts w:ascii="Times New Roman" w:eastAsia="Times New Roman" w:hAnsi="Times New Roman" w:cs="Times New Roman"/>
        </w:rPr>
        <w:t>(1), 11-25.</w:t>
      </w:r>
    </w:p>
    <w:p w14:paraId="00000254"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Lissillour</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Essiz</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Boninsegni</w:t>
      </w:r>
      <w:proofErr w:type="spellEnd"/>
      <w:r>
        <w:rPr>
          <w:rFonts w:ascii="Times New Roman" w:eastAsia="Times New Roman" w:hAnsi="Times New Roman" w:cs="Times New Roman"/>
        </w:rPr>
        <w:t>, M. F., &amp; Song, Z. (2025). Intergenerational transmission of sustainable consumpti</w:t>
      </w:r>
      <w:r>
        <w:rPr>
          <w:rFonts w:ascii="Times New Roman" w:eastAsia="Times New Roman" w:hAnsi="Times New Roman" w:cs="Times New Roman"/>
        </w:rPr>
        <w:t xml:space="preserve">on practices: Dyadic dynamics of green receptivity, subjective knowledge, peer conformity, and intra-family communication. </w:t>
      </w:r>
      <w:r>
        <w:rPr>
          <w:rFonts w:ascii="Times New Roman" w:eastAsia="Times New Roman" w:hAnsi="Times New Roman" w:cs="Times New Roman"/>
          <w:i/>
          <w:iCs/>
        </w:rPr>
        <w:t>Journal of Environmental Management</w:t>
      </w:r>
      <w:r>
        <w:rPr>
          <w:rFonts w:ascii="Times New Roman" w:eastAsia="Times New Roman" w:hAnsi="Times New Roman" w:cs="Times New Roman"/>
        </w:rPr>
        <w:t xml:space="preserve">, </w:t>
      </w:r>
      <w:r>
        <w:rPr>
          <w:rFonts w:ascii="Times New Roman" w:eastAsia="Times New Roman" w:hAnsi="Times New Roman" w:cs="Times New Roman"/>
          <w:i/>
          <w:iCs/>
        </w:rPr>
        <w:t>378</w:t>
      </w:r>
      <w:r>
        <w:rPr>
          <w:rFonts w:ascii="Times New Roman" w:eastAsia="Times New Roman" w:hAnsi="Times New Roman" w:cs="Times New Roman"/>
        </w:rPr>
        <w:t>, 124754.</w:t>
      </w:r>
    </w:p>
    <w:p w14:paraId="00000255"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Liu, W., </w:t>
      </w:r>
      <w:proofErr w:type="spellStart"/>
      <w:r>
        <w:rPr>
          <w:rFonts w:ascii="Times New Roman" w:eastAsia="Times New Roman" w:hAnsi="Times New Roman" w:cs="Times New Roman"/>
        </w:rPr>
        <w:t>McKibbin</w:t>
      </w:r>
      <w:proofErr w:type="spellEnd"/>
      <w:r>
        <w:rPr>
          <w:rFonts w:ascii="Times New Roman" w:eastAsia="Times New Roman" w:hAnsi="Times New Roman" w:cs="Times New Roman"/>
        </w:rPr>
        <w:t xml:space="preserve">, W. J., Morris, A. C., &amp; </w:t>
      </w:r>
      <w:proofErr w:type="spellStart"/>
      <w:r>
        <w:rPr>
          <w:rFonts w:ascii="Times New Roman" w:eastAsia="Times New Roman" w:hAnsi="Times New Roman" w:cs="Times New Roman"/>
        </w:rPr>
        <w:t>Wilcoxen</w:t>
      </w:r>
      <w:proofErr w:type="spellEnd"/>
      <w:r>
        <w:rPr>
          <w:rFonts w:ascii="Times New Roman" w:eastAsia="Times New Roman" w:hAnsi="Times New Roman" w:cs="Times New Roman"/>
        </w:rPr>
        <w:t xml:space="preserve">, P. J. (2020). Global economic </w:t>
      </w:r>
      <w:r>
        <w:rPr>
          <w:rFonts w:ascii="Times New Roman" w:eastAsia="Times New Roman" w:hAnsi="Times New Roman" w:cs="Times New Roman"/>
        </w:rPr>
        <w:t xml:space="preserve">and environmental outcomes of the Paris Agreement. </w:t>
      </w:r>
      <w:r>
        <w:rPr>
          <w:rFonts w:ascii="Times New Roman" w:eastAsia="Times New Roman" w:hAnsi="Times New Roman" w:cs="Times New Roman"/>
          <w:i/>
          <w:iCs/>
        </w:rPr>
        <w:t>Energy Economics, 90</w:t>
      </w:r>
      <w:r>
        <w:rPr>
          <w:rFonts w:ascii="Times New Roman" w:eastAsia="Times New Roman" w:hAnsi="Times New Roman" w:cs="Times New Roman"/>
        </w:rPr>
        <w:t>, 104838.</w:t>
      </w:r>
    </w:p>
    <w:p w14:paraId="00000256"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Madan, S., </w:t>
      </w:r>
      <w:proofErr w:type="spellStart"/>
      <w:r>
        <w:rPr>
          <w:rFonts w:ascii="Times New Roman" w:eastAsia="Times New Roman" w:hAnsi="Times New Roman" w:cs="Times New Roman"/>
        </w:rPr>
        <w:t>Johar</w:t>
      </w:r>
      <w:proofErr w:type="spellEnd"/>
      <w:r>
        <w:rPr>
          <w:rFonts w:ascii="Times New Roman" w:eastAsia="Times New Roman" w:hAnsi="Times New Roman" w:cs="Times New Roman"/>
        </w:rPr>
        <w:t xml:space="preserve">, G. V., Berger, J., </w:t>
      </w:r>
      <w:proofErr w:type="spellStart"/>
      <w:r>
        <w:rPr>
          <w:rFonts w:ascii="Times New Roman" w:eastAsia="Times New Roman" w:hAnsi="Times New Roman" w:cs="Times New Roman"/>
        </w:rPr>
        <w:t>Chandon</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Chandy</w:t>
      </w:r>
      <w:proofErr w:type="spellEnd"/>
      <w:r>
        <w:rPr>
          <w:rFonts w:ascii="Times New Roman" w:eastAsia="Times New Roman" w:hAnsi="Times New Roman" w:cs="Times New Roman"/>
        </w:rPr>
        <w:t>, R., Hamilton, R., ... &amp; White, K. (2023). Reaching for rigor and relevance: better marketing research for a better wo</w:t>
      </w:r>
      <w:r>
        <w:rPr>
          <w:rFonts w:ascii="Times New Roman" w:eastAsia="Times New Roman" w:hAnsi="Times New Roman" w:cs="Times New Roman"/>
        </w:rPr>
        <w:t xml:space="preserve">rld. </w:t>
      </w:r>
      <w:r>
        <w:rPr>
          <w:rFonts w:ascii="Times New Roman" w:eastAsia="Times New Roman" w:hAnsi="Times New Roman" w:cs="Times New Roman"/>
          <w:i/>
          <w:iCs/>
        </w:rPr>
        <w:t>Marketing Letters, 3</w:t>
      </w:r>
      <w:r>
        <w:rPr>
          <w:rFonts w:ascii="Times New Roman" w:eastAsia="Times New Roman" w:hAnsi="Times New Roman" w:cs="Times New Roman"/>
        </w:rPr>
        <w:t>4(1), 1-12.</w:t>
      </w:r>
    </w:p>
    <w:p w14:paraId="00000257" w14:textId="77777777" w:rsidR="00AB4CD0" w:rsidRPr="006710D8" w:rsidRDefault="004C12C0">
      <w:pPr>
        <w:spacing w:before="200"/>
        <w:ind w:left="360" w:hanging="360"/>
        <w:rPr>
          <w:rFonts w:ascii="Times New Roman" w:eastAsia="Times New Roman" w:hAnsi="Times New Roman" w:cs="Times New Roman"/>
          <w:lang w:val="it-IT"/>
        </w:rPr>
      </w:pPr>
      <w:r>
        <w:rPr>
          <w:rFonts w:ascii="Times New Roman" w:eastAsia="Times New Roman" w:hAnsi="Times New Roman" w:cs="Times New Roman"/>
        </w:rPr>
        <w:t xml:space="preserve">Maguire, L. (2023, July 20). Gen Z loves shopping hauls—Can they ever be sustainable? </w:t>
      </w:r>
      <w:r w:rsidRPr="006710D8">
        <w:rPr>
          <w:rFonts w:ascii="Times New Roman" w:eastAsia="Times New Roman" w:hAnsi="Times New Roman" w:cs="Times New Roman"/>
          <w:lang w:val="it-IT"/>
        </w:rPr>
        <w:t>Vogue. https://www.vogue.com/article/gen-z-loves-shopping-hauls-can-they-ever-be-sustainable</w:t>
      </w:r>
    </w:p>
    <w:p w14:paraId="00000258"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lastRenderedPageBreak/>
        <w:t xml:space="preserve">Maki, A., Carrico, A. R., Raimi, K. T., Truelove, H. B., Araujo, B., &amp; Yeung, K. L. (2019). Meta-analysis of pro-environmental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spillover. </w:t>
      </w:r>
      <w:r>
        <w:rPr>
          <w:rFonts w:ascii="Times New Roman" w:eastAsia="Times New Roman" w:hAnsi="Times New Roman" w:cs="Times New Roman"/>
          <w:i/>
          <w:iCs/>
        </w:rPr>
        <w:t>Nature Sustainability, 2</w:t>
      </w:r>
      <w:r>
        <w:rPr>
          <w:rFonts w:ascii="Times New Roman" w:eastAsia="Times New Roman" w:hAnsi="Times New Roman" w:cs="Times New Roman"/>
        </w:rPr>
        <w:t>(4), 307–315.</w:t>
      </w:r>
    </w:p>
    <w:p w14:paraId="00000259"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McGuire, W. J. (2000). Standing on the shoulders of ancients: Consumer research, persuasion, and figurative language. </w:t>
      </w:r>
      <w:r>
        <w:rPr>
          <w:rFonts w:ascii="Times New Roman" w:eastAsia="Times New Roman" w:hAnsi="Times New Roman" w:cs="Times New Roman"/>
          <w:i/>
          <w:iCs/>
        </w:rPr>
        <w:t>Journal of Consumer Research</w:t>
      </w:r>
      <w:r>
        <w:rPr>
          <w:rFonts w:ascii="Times New Roman" w:eastAsia="Times New Roman" w:hAnsi="Times New Roman" w:cs="Times New Roman"/>
        </w:rPr>
        <w:t>, </w:t>
      </w:r>
      <w:r>
        <w:rPr>
          <w:rFonts w:ascii="Times New Roman" w:eastAsia="Times New Roman" w:hAnsi="Times New Roman" w:cs="Times New Roman"/>
          <w:i/>
          <w:iCs/>
        </w:rPr>
        <w:t>27</w:t>
      </w:r>
      <w:r>
        <w:rPr>
          <w:rFonts w:ascii="Times New Roman" w:eastAsia="Times New Roman" w:hAnsi="Times New Roman" w:cs="Times New Roman"/>
        </w:rPr>
        <w:t>(1), 109-114.</w:t>
      </w:r>
    </w:p>
    <w:p w14:paraId="0000025A"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Meng, K. C., &amp; Rode, A. (2019). The social cost of lobbying over climate policy. </w:t>
      </w:r>
      <w:r>
        <w:rPr>
          <w:rFonts w:ascii="Times New Roman" w:eastAsia="Times New Roman" w:hAnsi="Times New Roman" w:cs="Times New Roman"/>
          <w:i/>
          <w:iCs/>
        </w:rPr>
        <w:t>Nature Clim</w:t>
      </w:r>
      <w:r>
        <w:rPr>
          <w:rFonts w:ascii="Times New Roman" w:eastAsia="Times New Roman" w:hAnsi="Times New Roman" w:cs="Times New Roman"/>
          <w:i/>
          <w:iCs/>
        </w:rPr>
        <w:t>ate Change, 9</w:t>
      </w:r>
      <w:r>
        <w:rPr>
          <w:rFonts w:ascii="Times New Roman" w:eastAsia="Times New Roman" w:hAnsi="Times New Roman" w:cs="Times New Roman"/>
        </w:rPr>
        <w:t>(6), 472–476.</w:t>
      </w:r>
    </w:p>
    <w:p w14:paraId="0000025B" w14:textId="77777777" w:rsidR="00AB4CD0" w:rsidRDefault="004C12C0">
      <w:pPr>
        <w:spacing w:before="200"/>
        <w:ind w:left="360" w:right="-180" w:hanging="360"/>
        <w:rPr>
          <w:rFonts w:ascii="Times New Roman" w:eastAsia="Times New Roman" w:hAnsi="Times New Roman" w:cs="Times New Roman"/>
        </w:rPr>
      </w:pPr>
      <w:r>
        <w:rPr>
          <w:rFonts w:ascii="Times New Roman" w:eastAsia="Times New Roman" w:hAnsi="Times New Roman" w:cs="Times New Roman"/>
        </w:rPr>
        <w:t>Moorman, C. (2024). How to Be a Pro–Social Impact Scholar in Marketing. </w:t>
      </w:r>
      <w:r>
        <w:rPr>
          <w:rFonts w:ascii="Times New Roman" w:eastAsia="Times New Roman" w:hAnsi="Times New Roman" w:cs="Times New Roman"/>
          <w:i/>
          <w:iCs/>
        </w:rPr>
        <w:t>Journal of Public Policy &amp; Marketing</w:t>
      </w:r>
      <w:r>
        <w:rPr>
          <w:rFonts w:ascii="Times New Roman" w:eastAsia="Times New Roman" w:hAnsi="Times New Roman" w:cs="Times New Roman"/>
        </w:rPr>
        <w:t>, </w:t>
      </w:r>
      <w:r>
        <w:rPr>
          <w:rFonts w:ascii="Times New Roman" w:eastAsia="Times New Roman" w:hAnsi="Times New Roman" w:cs="Times New Roman"/>
          <w:i/>
          <w:iCs/>
        </w:rPr>
        <w:t>43</w:t>
      </w:r>
      <w:r>
        <w:rPr>
          <w:rFonts w:ascii="Times New Roman" w:eastAsia="Times New Roman" w:hAnsi="Times New Roman" w:cs="Times New Roman"/>
        </w:rPr>
        <w:t>(3), 207-209.</w:t>
      </w:r>
    </w:p>
    <w:p w14:paraId="0000025C"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Murali, K., Lim, M. K., &amp; </w:t>
      </w:r>
      <w:proofErr w:type="spellStart"/>
      <w:r>
        <w:rPr>
          <w:rFonts w:ascii="Times New Roman" w:eastAsia="Times New Roman" w:hAnsi="Times New Roman" w:cs="Times New Roman"/>
        </w:rPr>
        <w:t>Petruzzi</w:t>
      </w:r>
      <w:proofErr w:type="spellEnd"/>
      <w:r>
        <w:rPr>
          <w:rFonts w:ascii="Times New Roman" w:eastAsia="Times New Roman" w:hAnsi="Times New Roman" w:cs="Times New Roman"/>
        </w:rPr>
        <w:t>, N. C. (2019). The effects of ecolabels and environmental regulation</w:t>
      </w:r>
      <w:r>
        <w:rPr>
          <w:rFonts w:ascii="Times New Roman" w:eastAsia="Times New Roman" w:hAnsi="Times New Roman" w:cs="Times New Roman"/>
        </w:rPr>
        <w:t xml:space="preserve"> on green product development. </w:t>
      </w:r>
      <w:r>
        <w:rPr>
          <w:rFonts w:ascii="Times New Roman" w:eastAsia="Times New Roman" w:hAnsi="Times New Roman" w:cs="Times New Roman"/>
          <w:i/>
          <w:iCs/>
        </w:rPr>
        <w:t>Manufacturing &amp; Service Operations Management, 21</w:t>
      </w:r>
      <w:r>
        <w:rPr>
          <w:rFonts w:ascii="Times New Roman" w:eastAsia="Times New Roman" w:hAnsi="Times New Roman" w:cs="Times New Roman"/>
        </w:rPr>
        <w:t>(3), 519–535.</w:t>
      </w:r>
    </w:p>
    <w:p w14:paraId="0000025D"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Nash, N., &amp; Whitmarsh, L. (2023). One thing leads to another? Pro-environmental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spillover. In </w:t>
      </w:r>
      <w:r>
        <w:rPr>
          <w:rFonts w:ascii="Times New Roman" w:eastAsia="Times New Roman" w:hAnsi="Times New Roman" w:cs="Times New Roman"/>
          <w:i/>
          <w:iCs/>
        </w:rPr>
        <w:t xml:space="preserve">Handbook on pro-environmental </w:t>
      </w:r>
      <w:proofErr w:type="spellStart"/>
      <w:r>
        <w:rPr>
          <w:rFonts w:ascii="Times New Roman" w:eastAsia="Times New Roman" w:hAnsi="Times New Roman" w:cs="Times New Roman"/>
          <w:i/>
          <w:iCs/>
        </w:rPr>
        <w:t>behaviour</w:t>
      </w:r>
      <w:proofErr w:type="spellEnd"/>
      <w:r>
        <w:rPr>
          <w:rFonts w:ascii="Times New Roman" w:eastAsia="Times New Roman" w:hAnsi="Times New Roman" w:cs="Times New Roman"/>
          <w:i/>
          <w:iCs/>
        </w:rPr>
        <w:t xml:space="preserve"> change</w:t>
      </w:r>
      <w:r>
        <w:rPr>
          <w:rFonts w:ascii="Times New Roman" w:eastAsia="Times New Roman" w:hAnsi="Times New Roman" w:cs="Times New Roman"/>
        </w:rPr>
        <w:t xml:space="preserve"> (pp. 63–7</w:t>
      </w:r>
      <w:r>
        <w:rPr>
          <w:rFonts w:ascii="Times New Roman" w:eastAsia="Times New Roman" w:hAnsi="Times New Roman" w:cs="Times New Roman"/>
        </w:rPr>
        <w:t>7). Edward Elgar Publishing.</w:t>
      </w:r>
    </w:p>
    <w:p w14:paraId="0000025E"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Nguyen-Van, P., Stenger, A., &amp; </w:t>
      </w:r>
      <w:proofErr w:type="spellStart"/>
      <w:r>
        <w:rPr>
          <w:rFonts w:ascii="Times New Roman" w:eastAsia="Times New Roman" w:hAnsi="Times New Roman" w:cs="Times New Roman"/>
        </w:rPr>
        <w:t>Tiet</w:t>
      </w:r>
      <w:proofErr w:type="spellEnd"/>
      <w:r>
        <w:rPr>
          <w:rFonts w:ascii="Times New Roman" w:eastAsia="Times New Roman" w:hAnsi="Times New Roman" w:cs="Times New Roman"/>
        </w:rPr>
        <w:t xml:space="preserve">, T. (2021). Social incentive factors in interventions promoting sustainable behaviors: A meta-analysis. </w:t>
      </w:r>
      <w:proofErr w:type="spellStart"/>
      <w:r>
        <w:rPr>
          <w:rFonts w:ascii="Times New Roman" w:eastAsia="Times New Roman" w:hAnsi="Times New Roman" w:cs="Times New Roman"/>
          <w:i/>
          <w:iCs/>
        </w:rPr>
        <w:t>PLoS</w:t>
      </w:r>
      <w:proofErr w:type="spellEnd"/>
      <w:r>
        <w:rPr>
          <w:rFonts w:ascii="Times New Roman" w:eastAsia="Times New Roman" w:hAnsi="Times New Roman" w:cs="Times New Roman"/>
          <w:i/>
          <w:iCs/>
        </w:rPr>
        <w:t xml:space="preserve"> ONE, 16</w:t>
      </w:r>
      <w:r>
        <w:rPr>
          <w:rFonts w:ascii="Times New Roman" w:eastAsia="Times New Roman" w:hAnsi="Times New Roman" w:cs="Times New Roman"/>
        </w:rPr>
        <w:t>(12), e0260932.</w:t>
      </w:r>
    </w:p>
    <w:p w14:paraId="0000025F"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Ostrom, E. (1999). Coping with tragedies of the commons. </w:t>
      </w:r>
      <w:r>
        <w:rPr>
          <w:rFonts w:ascii="Times New Roman" w:eastAsia="Times New Roman" w:hAnsi="Times New Roman" w:cs="Times New Roman"/>
          <w:i/>
          <w:iCs/>
        </w:rPr>
        <w:t>An</w:t>
      </w:r>
      <w:r>
        <w:rPr>
          <w:rFonts w:ascii="Times New Roman" w:eastAsia="Times New Roman" w:hAnsi="Times New Roman" w:cs="Times New Roman"/>
          <w:i/>
          <w:iCs/>
        </w:rPr>
        <w:t>nual review of political science, 2</w:t>
      </w:r>
      <w:r>
        <w:rPr>
          <w:rFonts w:ascii="Times New Roman" w:eastAsia="Times New Roman" w:hAnsi="Times New Roman" w:cs="Times New Roman"/>
        </w:rPr>
        <w:t>(1), 493-535.</w:t>
      </w:r>
    </w:p>
    <w:p w14:paraId="00000260"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Peattie, K., &amp; Crane, A. (2005). Green marketing: legend, myth, farce or prophesy? </w:t>
      </w:r>
      <w:r>
        <w:rPr>
          <w:rFonts w:ascii="Times New Roman" w:eastAsia="Times New Roman" w:hAnsi="Times New Roman" w:cs="Times New Roman"/>
          <w:i/>
          <w:iCs/>
        </w:rPr>
        <w:t>Qualitative Market Research: An International Journal</w:t>
      </w:r>
      <w:r>
        <w:rPr>
          <w:rFonts w:ascii="Times New Roman" w:eastAsia="Times New Roman" w:hAnsi="Times New Roman" w:cs="Times New Roman"/>
        </w:rPr>
        <w:t>,</w:t>
      </w:r>
      <w:r>
        <w:rPr>
          <w:rFonts w:ascii="Times New Roman" w:eastAsia="Times New Roman" w:hAnsi="Times New Roman" w:cs="Times New Roman"/>
          <w:i/>
          <w:iCs/>
        </w:rPr>
        <w:t xml:space="preserve"> 8</w:t>
      </w:r>
      <w:r>
        <w:rPr>
          <w:rFonts w:ascii="Times New Roman" w:eastAsia="Times New Roman" w:hAnsi="Times New Roman" w:cs="Times New Roman"/>
        </w:rPr>
        <w:t>(4), 357 - 370.</w:t>
      </w:r>
    </w:p>
    <w:p w14:paraId="00000261"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color w:val="000000"/>
        </w:rPr>
        <w:t>Peattie, K., &amp; Peattie, S. (2009). Social marketing:</w:t>
      </w:r>
      <w:r>
        <w:rPr>
          <w:rFonts w:ascii="Times New Roman" w:eastAsia="Times New Roman" w:hAnsi="Times New Roman" w:cs="Times New Roman"/>
          <w:color w:val="000000"/>
        </w:rPr>
        <w:t xml:space="preserve"> a pathway to consumption reduction? </w:t>
      </w:r>
      <w:r>
        <w:rPr>
          <w:rFonts w:ascii="Times New Roman" w:eastAsia="Times New Roman" w:hAnsi="Times New Roman" w:cs="Times New Roman"/>
          <w:i/>
          <w:iCs/>
          <w:color w:val="000000"/>
        </w:rPr>
        <w:t>Journal of Business Research</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62</w:t>
      </w:r>
      <w:r>
        <w:rPr>
          <w:rFonts w:ascii="Times New Roman" w:eastAsia="Times New Roman" w:hAnsi="Times New Roman" w:cs="Times New Roman"/>
          <w:color w:val="000000"/>
        </w:rPr>
        <w:t>(2), 260-268.</w:t>
      </w:r>
    </w:p>
    <w:p w14:paraId="00000262"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color w:val="000000"/>
        </w:rPr>
        <w:t xml:space="preserve">Petty, R. E., &amp; Cacioppo J. T. (1986), </w:t>
      </w:r>
      <w:r>
        <w:rPr>
          <w:rFonts w:ascii="Times New Roman" w:eastAsia="Times New Roman" w:hAnsi="Times New Roman" w:cs="Times New Roman"/>
          <w:i/>
          <w:iCs/>
          <w:color w:val="000000"/>
        </w:rPr>
        <w:t>Communication and Persuasion: Central and Peripheral Routes to Attitude Change</w:t>
      </w:r>
      <w:r>
        <w:rPr>
          <w:rFonts w:ascii="Times New Roman" w:eastAsia="Times New Roman" w:hAnsi="Times New Roman" w:cs="Times New Roman"/>
          <w:color w:val="000000"/>
        </w:rPr>
        <w:t>, New York: Springer.</w:t>
      </w:r>
    </w:p>
    <w:p w14:paraId="00000263"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Pickman</w:t>
      </w:r>
      <w:proofErr w:type="spellEnd"/>
      <w:r>
        <w:rPr>
          <w:rFonts w:ascii="Times New Roman" w:eastAsia="Times New Roman" w:hAnsi="Times New Roman" w:cs="Times New Roman"/>
        </w:rPr>
        <w:t xml:space="preserve">, H. A. (1998). The effect </w:t>
      </w:r>
      <w:r>
        <w:rPr>
          <w:rFonts w:ascii="Times New Roman" w:eastAsia="Times New Roman" w:hAnsi="Times New Roman" w:cs="Times New Roman"/>
        </w:rPr>
        <w:t xml:space="preserve">of environmental regulation on environmental innovation. </w:t>
      </w:r>
      <w:r>
        <w:rPr>
          <w:rFonts w:ascii="Times New Roman" w:eastAsia="Times New Roman" w:hAnsi="Times New Roman" w:cs="Times New Roman"/>
          <w:i/>
          <w:iCs/>
        </w:rPr>
        <w:t>Business Strategy and the Environment, 7</w:t>
      </w:r>
      <w:r>
        <w:rPr>
          <w:rFonts w:ascii="Times New Roman" w:eastAsia="Times New Roman" w:hAnsi="Times New Roman" w:cs="Times New Roman"/>
        </w:rPr>
        <w:t>(4), 223–233.</w:t>
      </w:r>
    </w:p>
    <w:p w14:paraId="00000264"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Poushter</w:t>
      </w:r>
      <w:proofErr w:type="spellEnd"/>
      <w:r>
        <w:rPr>
          <w:rFonts w:ascii="Times New Roman" w:eastAsia="Times New Roman" w:hAnsi="Times New Roman" w:cs="Times New Roman"/>
        </w:rPr>
        <w:t xml:space="preserve">, J., Fagan, M., &amp; </w:t>
      </w:r>
      <w:proofErr w:type="spellStart"/>
      <w:r>
        <w:rPr>
          <w:rFonts w:ascii="Times New Roman" w:eastAsia="Times New Roman" w:hAnsi="Times New Roman" w:cs="Times New Roman"/>
        </w:rPr>
        <w:t>Gubbala</w:t>
      </w:r>
      <w:proofErr w:type="spellEnd"/>
      <w:r>
        <w:rPr>
          <w:rFonts w:ascii="Times New Roman" w:eastAsia="Times New Roman" w:hAnsi="Times New Roman" w:cs="Times New Roman"/>
        </w:rPr>
        <w:t>, S. (2022). Climate change remains top global threat across 19-country survey. Pew Research Center report, Aug</w:t>
      </w:r>
      <w:r>
        <w:rPr>
          <w:rFonts w:ascii="Times New Roman" w:eastAsia="Times New Roman" w:hAnsi="Times New Roman" w:cs="Times New Roman"/>
        </w:rPr>
        <w:t>ust 31.</w:t>
      </w:r>
    </w:p>
    <w:p w14:paraId="00000265" w14:textId="77777777" w:rsidR="00AB4CD0" w:rsidRDefault="004C12C0">
      <w:pPr>
        <w:spacing w:before="200"/>
        <w:ind w:left="360" w:hanging="360"/>
        <w:rPr>
          <w:rFonts w:ascii="Times New Roman" w:eastAsia="Times New Roman" w:hAnsi="Times New Roman" w:cs="Times New Roman"/>
          <w:color w:val="000000"/>
        </w:rPr>
      </w:pPr>
      <w:r>
        <w:rPr>
          <w:rFonts w:ascii="Times New Roman" w:eastAsia="Times New Roman" w:hAnsi="Times New Roman" w:cs="Times New Roman"/>
          <w:color w:val="000000"/>
        </w:rPr>
        <w:t>Puranam, D., Kim, S., Hong, J., &amp; Che, H. (2025). Are We Worse Off After Policy Repeals? Evidence from Two Green Policies. </w:t>
      </w:r>
      <w:r>
        <w:rPr>
          <w:rFonts w:ascii="Times New Roman" w:eastAsia="Times New Roman" w:hAnsi="Times New Roman" w:cs="Times New Roman"/>
          <w:i/>
          <w:iCs/>
          <w:color w:val="000000"/>
        </w:rPr>
        <w:t>Journal of Marketing Research</w:t>
      </w:r>
      <w:r>
        <w:rPr>
          <w:rFonts w:ascii="Times New Roman" w:eastAsia="Times New Roman" w:hAnsi="Times New Roman" w:cs="Times New Roman"/>
          <w:color w:val="000000"/>
        </w:rPr>
        <w:t>, </w:t>
      </w:r>
      <w:r>
        <w:rPr>
          <w:rFonts w:ascii="Times New Roman" w:eastAsia="Times New Roman" w:hAnsi="Times New Roman" w:cs="Times New Roman"/>
          <w:i/>
          <w:iCs/>
          <w:color w:val="000000"/>
        </w:rPr>
        <w:t>62</w:t>
      </w:r>
      <w:r>
        <w:rPr>
          <w:rFonts w:ascii="Times New Roman" w:eastAsia="Times New Roman" w:hAnsi="Times New Roman" w:cs="Times New Roman"/>
          <w:color w:val="000000"/>
        </w:rPr>
        <w:t>(2), 189-206. </w:t>
      </w:r>
      <w:hyperlink r:id="rId47">
        <w:r>
          <w:rPr>
            <w:rFonts w:ascii="Times New Roman" w:eastAsia="Times New Roman" w:hAnsi="Times New Roman" w:cs="Times New Roman"/>
            <w:color w:val="0000FF"/>
            <w:u w:val="single"/>
          </w:rPr>
          <w:t>https://doi.org/1</w:t>
        </w:r>
        <w:r>
          <w:rPr>
            <w:rFonts w:ascii="Times New Roman" w:eastAsia="Times New Roman" w:hAnsi="Times New Roman" w:cs="Times New Roman"/>
            <w:color w:val="0000FF"/>
            <w:u w:val="single"/>
          </w:rPr>
          <w:t>0.1177/00222437241290157</w:t>
        </w:r>
      </w:hyperlink>
    </w:p>
    <w:p w14:paraId="00000266"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Rosenblatt, L. (2024, June 20). Amazon cutting down on plastic in the U.S., after years of criticism. </w:t>
      </w:r>
      <w:r>
        <w:rPr>
          <w:rFonts w:ascii="Times New Roman" w:eastAsia="Times New Roman" w:hAnsi="Times New Roman" w:cs="Times New Roman"/>
          <w:i/>
          <w:iCs/>
        </w:rPr>
        <w:t>Seattle Times.</w:t>
      </w:r>
      <w:r>
        <w:rPr>
          <w:rFonts w:ascii="Times New Roman" w:eastAsia="Times New Roman" w:hAnsi="Times New Roman" w:cs="Times New Roman"/>
        </w:rPr>
        <w:t xml:space="preserve"> https://www.seattletimes.com/business/amazon/amazon-</w:t>
      </w:r>
      <w:r>
        <w:rPr>
          <w:rFonts w:ascii="Times New Roman" w:eastAsia="Times New Roman" w:hAnsi="Times New Roman" w:cs="Times New Roman"/>
        </w:rPr>
        <w:br/>
        <w:t>cutting-down -on-plastic-in-the-u-s-after-years-of-criticism/</w:t>
      </w:r>
    </w:p>
    <w:p w14:paraId="00000267" w14:textId="77777777" w:rsidR="00AB4CD0" w:rsidRDefault="004C12C0">
      <w:pPr>
        <w:spacing w:before="200"/>
        <w:ind w:left="360" w:hanging="360"/>
        <w:rPr>
          <w:rFonts w:ascii="Times New Roman" w:eastAsia="Times New Roman" w:hAnsi="Times New Roman" w:cs="Times New Roman"/>
          <w:highlight w:val="yellow"/>
        </w:rPr>
      </w:pPr>
      <w:r>
        <w:rPr>
          <w:rFonts w:ascii="Times New Roman" w:eastAsia="Times New Roman" w:hAnsi="Times New Roman" w:cs="Times New Roman"/>
        </w:rPr>
        <w:lastRenderedPageBreak/>
        <w:t xml:space="preserve">Sen, S., </w:t>
      </w:r>
      <w:proofErr w:type="spellStart"/>
      <w:r>
        <w:rPr>
          <w:rFonts w:ascii="Times New Roman" w:eastAsia="Times New Roman" w:hAnsi="Times New Roman" w:cs="Times New Roman"/>
        </w:rPr>
        <w:t>Gürhan‐Canli</w:t>
      </w:r>
      <w:proofErr w:type="spellEnd"/>
      <w:r>
        <w:rPr>
          <w:rFonts w:ascii="Times New Roman" w:eastAsia="Times New Roman" w:hAnsi="Times New Roman" w:cs="Times New Roman"/>
        </w:rPr>
        <w:t xml:space="preserve">, Z., &amp; </w:t>
      </w:r>
      <w:proofErr w:type="spellStart"/>
      <w:r>
        <w:rPr>
          <w:rFonts w:ascii="Times New Roman" w:eastAsia="Times New Roman" w:hAnsi="Times New Roman" w:cs="Times New Roman"/>
        </w:rPr>
        <w:t>Morwitz</w:t>
      </w:r>
      <w:proofErr w:type="spellEnd"/>
      <w:r>
        <w:rPr>
          <w:rFonts w:ascii="Times New Roman" w:eastAsia="Times New Roman" w:hAnsi="Times New Roman" w:cs="Times New Roman"/>
        </w:rPr>
        <w:t xml:space="preserve">, V. (2001). Withholding consumption: A social dilemma perspective on consumer boycotts. </w:t>
      </w:r>
      <w:r>
        <w:rPr>
          <w:rFonts w:ascii="Times New Roman" w:eastAsia="Times New Roman" w:hAnsi="Times New Roman" w:cs="Times New Roman"/>
          <w:i/>
          <w:iCs/>
        </w:rPr>
        <w:t>Journal of Consumer Research, 28</w:t>
      </w:r>
      <w:r>
        <w:rPr>
          <w:rFonts w:ascii="Times New Roman" w:eastAsia="Times New Roman" w:hAnsi="Times New Roman" w:cs="Times New Roman"/>
        </w:rPr>
        <w:t>(3), 399–417.</w:t>
      </w:r>
    </w:p>
    <w:p w14:paraId="00000268"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Sparkman, G., &amp; Walton, G. M. (2017). Dynamic norms promote sustainable behavior, ev</w:t>
      </w:r>
      <w:r>
        <w:rPr>
          <w:rFonts w:ascii="Times New Roman" w:eastAsia="Times New Roman" w:hAnsi="Times New Roman" w:cs="Times New Roman"/>
        </w:rPr>
        <w:t xml:space="preserve">en if it is </w:t>
      </w:r>
      <w:proofErr w:type="spellStart"/>
      <w:r>
        <w:rPr>
          <w:rFonts w:ascii="Times New Roman" w:eastAsia="Times New Roman" w:hAnsi="Times New Roman" w:cs="Times New Roman"/>
        </w:rPr>
        <w:t>counternormative</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Psychological Science, 28</w:t>
      </w:r>
      <w:r>
        <w:rPr>
          <w:rFonts w:ascii="Times New Roman" w:eastAsia="Times New Roman" w:hAnsi="Times New Roman" w:cs="Times New Roman"/>
        </w:rPr>
        <w:t>(11), 1663-1674.</w:t>
      </w:r>
    </w:p>
    <w:p w14:paraId="00000269" w14:textId="77777777" w:rsidR="00AB4CD0" w:rsidRDefault="004C12C0">
      <w:pPr>
        <w:spacing w:before="200"/>
        <w:ind w:left="360" w:hanging="360"/>
        <w:rPr>
          <w:rFonts w:ascii="Times New Roman" w:eastAsia="Times New Roman" w:hAnsi="Times New Roman" w:cs="Times New Roman"/>
          <w:highlight w:val="white"/>
        </w:rPr>
      </w:pPr>
      <w:r>
        <w:rPr>
          <w:rFonts w:ascii="Times New Roman" w:eastAsia="Times New Roman" w:hAnsi="Times New Roman" w:cs="Times New Roman"/>
        </w:rPr>
        <w:t xml:space="preserve">Spicer, A., &amp; Hyatt, D. (2017). Walmart’s Emergent Low-Cost Sustainable Product Strategy. </w:t>
      </w:r>
      <w:r>
        <w:rPr>
          <w:rFonts w:ascii="Times New Roman" w:eastAsia="Times New Roman" w:hAnsi="Times New Roman" w:cs="Times New Roman"/>
          <w:i/>
          <w:iCs/>
        </w:rPr>
        <w:t>California Management Review, 59</w:t>
      </w:r>
      <w:r>
        <w:rPr>
          <w:rFonts w:ascii="Times New Roman" w:eastAsia="Times New Roman" w:hAnsi="Times New Roman" w:cs="Times New Roman"/>
        </w:rPr>
        <w:t xml:space="preserve">(2), 116-141. </w:t>
      </w:r>
      <w:hyperlink r:id="rId48">
        <w:r>
          <w:rPr>
            <w:rFonts w:ascii="Times New Roman" w:eastAsia="Times New Roman" w:hAnsi="Times New Roman" w:cs="Times New Roman"/>
            <w:color w:val="1155CC"/>
            <w:u w:val="single"/>
          </w:rPr>
          <w:t>https://doi.org/10.1177/0008125617695287</w:t>
        </w:r>
      </w:hyperlink>
    </w:p>
    <w:p w14:paraId="0000026A" w14:textId="77777777" w:rsidR="00AB4CD0" w:rsidRDefault="004C12C0">
      <w:pPr>
        <w:spacing w:before="200"/>
        <w:ind w:left="360" w:hanging="36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Starbucks Coffee Company. (2022, May 11). </w:t>
      </w:r>
      <w:r>
        <w:rPr>
          <w:rFonts w:ascii="Times New Roman" w:eastAsia="Times New Roman" w:hAnsi="Times New Roman" w:cs="Times New Roman"/>
          <w:i/>
          <w:iCs/>
          <w:highlight w:val="white"/>
        </w:rPr>
        <w:t>Hubbub and Starbucks launch £1 m Bring It Back Fund to boost reuse.</w:t>
      </w:r>
      <w:r>
        <w:rPr>
          <w:rFonts w:ascii="Times New Roman" w:eastAsia="Times New Roman" w:hAnsi="Times New Roman" w:cs="Times New Roman"/>
          <w:highlight w:val="white"/>
        </w:rPr>
        <w:t xml:space="preserve"> </w:t>
      </w:r>
      <w:hyperlink r:id="rId49">
        <w:r>
          <w:rPr>
            <w:rFonts w:ascii="Times New Roman" w:eastAsia="Times New Roman" w:hAnsi="Times New Roman" w:cs="Times New Roman"/>
            <w:color w:val="0000FF"/>
            <w:highlight w:val="white"/>
            <w:u w:val="single"/>
          </w:rPr>
          <w:t>https://stories.starbucks.com/emea/stories/2022/hubbub-and-starbucks-launch-1m-bring-it-back-fund-to-boost-reuse/</w:t>
        </w:r>
      </w:hyperlink>
    </w:p>
    <w:p w14:paraId="0000026B" w14:textId="77777777" w:rsidR="00AB4CD0" w:rsidRDefault="004C12C0">
      <w:pPr>
        <w:spacing w:before="200"/>
        <w:ind w:left="360" w:hanging="36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Sult</w:t>
      </w:r>
      <w:proofErr w:type="spellEnd"/>
      <w:r>
        <w:rPr>
          <w:rFonts w:ascii="Times New Roman" w:eastAsia="Times New Roman" w:hAnsi="Times New Roman" w:cs="Times New Roman"/>
          <w:highlight w:val="white"/>
        </w:rPr>
        <w:t xml:space="preserve">, A., </w:t>
      </w:r>
      <w:proofErr w:type="spellStart"/>
      <w:r>
        <w:rPr>
          <w:rFonts w:ascii="Times New Roman" w:eastAsia="Times New Roman" w:hAnsi="Times New Roman" w:cs="Times New Roman"/>
          <w:highlight w:val="white"/>
        </w:rPr>
        <w:t>Wobst</w:t>
      </w:r>
      <w:proofErr w:type="spellEnd"/>
      <w:r>
        <w:rPr>
          <w:rFonts w:ascii="Times New Roman" w:eastAsia="Times New Roman" w:hAnsi="Times New Roman" w:cs="Times New Roman"/>
          <w:highlight w:val="white"/>
        </w:rPr>
        <w:t xml:space="preserve">, J., &amp; </w:t>
      </w:r>
      <w:proofErr w:type="spellStart"/>
      <w:r>
        <w:rPr>
          <w:rFonts w:ascii="Times New Roman" w:eastAsia="Times New Roman" w:hAnsi="Times New Roman" w:cs="Times New Roman"/>
          <w:highlight w:val="white"/>
        </w:rPr>
        <w:t>Lueg</w:t>
      </w:r>
      <w:proofErr w:type="spellEnd"/>
      <w:r>
        <w:rPr>
          <w:rFonts w:ascii="Times New Roman" w:eastAsia="Times New Roman" w:hAnsi="Times New Roman" w:cs="Times New Roman"/>
          <w:highlight w:val="white"/>
        </w:rPr>
        <w:t>, R. (2024). The role of training in implementing co</w:t>
      </w:r>
      <w:r>
        <w:rPr>
          <w:rFonts w:ascii="Times New Roman" w:eastAsia="Times New Roman" w:hAnsi="Times New Roman" w:cs="Times New Roman"/>
          <w:highlight w:val="white"/>
        </w:rPr>
        <w:t xml:space="preserve">rporate sustainability: A systematic literature review. </w:t>
      </w:r>
      <w:r>
        <w:rPr>
          <w:rFonts w:ascii="Times New Roman" w:eastAsia="Times New Roman" w:hAnsi="Times New Roman" w:cs="Times New Roman"/>
          <w:i/>
          <w:iCs/>
          <w:highlight w:val="white"/>
        </w:rPr>
        <w:t>Corporate Social Responsibility and Environmental Management, 31</w:t>
      </w:r>
      <w:r>
        <w:rPr>
          <w:rFonts w:ascii="Times New Roman" w:eastAsia="Times New Roman" w:hAnsi="Times New Roman" w:cs="Times New Roman"/>
          <w:highlight w:val="white"/>
        </w:rPr>
        <w:t>(1), 1-30.</w:t>
      </w:r>
    </w:p>
    <w:p w14:paraId="0000026C"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highlight w:val="white"/>
        </w:rPr>
        <w:t>Tiefenbeck</w:t>
      </w:r>
      <w:proofErr w:type="spellEnd"/>
      <w:r>
        <w:rPr>
          <w:rFonts w:ascii="Times New Roman" w:eastAsia="Times New Roman" w:hAnsi="Times New Roman" w:cs="Times New Roman"/>
          <w:highlight w:val="white"/>
        </w:rPr>
        <w:t xml:space="preserve">, V., </w:t>
      </w:r>
      <w:proofErr w:type="spellStart"/>
      <w:r>
        <w:rPr>
          <w:rFonts w:ascii="Times New Roman" w:eastAsia="Times New Roman" w:hAnsi="Times New Roman" w:cs="Times New Roman"/>
          <w:highlight w:val="white"/>
        </w:rPr>
        <w:t>Goette</w:t>
      </w:r>
      <w:proofErr w:type="spellEnd"/>
      <w:r>
        <w:rPr>
          <w:rFonts w:ascii="Times New Roman" w:eastAsia="Times New Roman" w:hAnsi="Times New Roman" w:cs="Times New Roman"/>
          <w:highlight w:val="white"/>
        </w:rPr>
        <w:t xml:space="preserve">, L., Degen, K., </w:t>
      </w:r>
      <w:proofErr w:type="spellStart"/>
      <w:r>
        <w:rPr>
          <w:rFonts w:ascii="Times New Roman" w:eastAsia="Times New Roman" w:hAnsi="Times New Roman" w:cs="Times New Roman"/>
          <w:highlight w:val="white"/>
        </w:rPr>
        <w:t>Tasic</w:t>
      </w:r>
      <w:proofErr w:type="spellEnd"/>
      <w:r>
        <w:rPr>
          <w:rFonts w:ascii="Times New Roman" w:eastAsia="Times New Roman" w:hAnsi="Times New Roman" w:cs="Times New Roman"/>
          <w:highlight w:val="white"/>
        </w:rPr>
        <w:t xml:space="preserve">, V., </w:t>
      </w:r>
      <w:proofErr w:type="spellStart"/>
      <w:r>
        <w:rPr>
          <w:rFonts w:ascii="Times New Roman" w:eastAsia="Times New Roman" w:hAnsi="Times New Roman" w:cs="Times New Roman"/>
          <w:highlight w:val="white"/>
        </w:rPr>
        <w:t>Fleisch</w:t>
      </w:r>
      <w:proofErr w:type="spellEnd"/>
      <w:r>
        <w:rPr>
          <w:rFonts w:ascii="Times New Roman" w:eastAsia="Times New Roman" w:hAnsi="Times New Roman" w:cs="Times New Roman"/>
          <w:highlight w:val="white"/>
        </w:rPr>
        <w:t xml:space="preserve">, E., </w:t>
      </w:r>
      <w:proofErr w:type="spellStart"/>
      <w:r>
        <w:rPr>
          <w:rFonts w:ascii="Times New Roman" w:eastAsia="Times New Roman" w:hAnsi="Times New Roman" w:cs="Times New Roman"/>
          <w:highlight w:val="white"/>
        </w:rPr>
        <w:t>Lalive</w:t>
      </w:r>
      <w:proofErr w:type="spellEnd"/>
      <w:r>
        <w:rPr>
          <w:rFonts w:ascii="Times New Roman" w:eastAsia="Times New Roman" w:hAnsi="Times New Roman" w:cs="Times New Roman"/>
          <w:highlight w:val="white"/>
        </w:rPr>
        <w:t xml:space="preserve">, R., &amp; </w:t>
      </w:r>
      <w:proofErr w:type="spellStart"/>
      <w:r>
        <w:rPr>
          <w:rFonts w:ascii="Times New Roman" w:eastAsia="Times New Roman" w:hAnsi="Times New Roman" w:cs="Times New Roman"/>
          <w:highlight w:val="white"/>
        </w:rPr>
        <w:t>Staake</w:t>
      </w:r>
      <w:proofErr w:type="spellEnd"/>
      <w:r>
        <w:rPr>
          <w:rFonts w:ascii="Times New Roman" w:eastAsia="Times New Roman" w:hAnsi="Times New Roman" w:cs="Times New Roman"/>
          <w:highlight w:val="white"/>
        </w:rPr>
        <w:t>, T. (2018). Overcoming salience bias: How</w:t>
      </w:r>
      <w:r>
        <w:rPr>
          <w:rFonts w:ascii="Times New Roman" w:eastAsia="Times New Roman" w:hAnsi="Times New Roman" w:cs="Times New Roman"/>
          <w:highlight w:val="white"/>
        </w:rPr>
        <w:t xml:space="preserve"> real-time feedback fosters resource conservation. </w:t>
      </w:r>
      <w:r>
        <w:rPr>
          <w:rFonts w:ascii="Times New Roman" w:eastAsia="Times New Roman" w:hAnsi="Times New Roman" w:cs="Times New Roman"/>
          <w:i/>
          <w:iCs/>
          <w:highlight w:val="white"/>
        </w:rPr>
        <w:t>Management Science, 64</w:t>
      </w:r>
      <w:r>
        <w:rPr>
          <w:rFonts w:ascii="Times New Roman" w:eastAsia="Times New Roman" w:hAnsi="Times New Roman" w:cs="Times New Roman"/>
          <w:highlight w:val="white"/>
        </w:rPr>
        <w:t>(3), 1458</w:t>
      </w:r>
      <w:r>
        <w:rPr>
          <w:rFonts w:ascii="Times New Roman" w:eastAsia="Times New Roman" w:hAnsi="Times New Roman" w:cs="Times New Roman"/>
        </w:rPr>
        <w:t>–</w:t>
      </w:r>
      <w:r>
        <w:rPr>
          <w:rFonts w:ascii="Times New Roman" w:eastAsia="Times New Roman" w:hAnsi="Times New Roman" w:cs="Times New Roman"/>
          <w:highlight w:val="white"/>
        </w:rPr>
        <w:t>1476.</w:t>
      </w:r>
    </w:p>
    <w:p w14:paraId="0000026D"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Tomlin, K. M. (2019). Assessing the efficacy of consumer boycotts of U.S. target firms: A shareholder wealth analysis. </w:t>
      </w:r>
      <w:r>
        <w:rPr>
          <w:rFonts w:ascii="Times New Roman" w:eastAsia="Times New Roman" w:hAnsi="Times New Roman" w:cs="Times New Roman"/>
          <w:i/>
          <w:iCs/>
        </w:rPr>
        <w:t>Southern Economic Journal, 86,</w:t>
      </w:r>
      <w:r>
        <w:rPr>
          <w:rFonts w:ascii="Times New Roman" w:eastAsia="Times New Roman" w:hAnsi="Times New Roman" w:cs="Times New Roman"/>
        </w:rPr>
        <w:t xml:space="preserve"> 503–529.</w:t>
      </w:r>
    </w:p>
    <w:p w14:paraId="0000026E"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Truelove</w:t>
      </w:r>
      <w:r>
        <w:rPr>
          <w:rFonts w:ascii="Times New Roman" w:eastAsia="Times New Roman" w:hAnsi="Times New Roman" w:cs="Times New Roman"/>
        </w:rPr>
        <w:t xml:space="preserve">, H. B., Carrico, A. R., Weber, E. U., Raimi, K. T., &amp; </w:t>
      </w:r>
      <w:proofErr w:type="spellStart"/>
      <w:r>
        <w:rPr>
          <w:rFonts w:ascii="Times New Roman" w:eastAsia="Times New Roman" w:hAnsi="Times New Roman" w:cs="Times New Roman"/>
        </w:rPr>
        <w:t>Vandenbergh</w:t>
      </w:r>
      <w:proofErr w:type="spellEnd"/>
      <w:r>
        <w:rPr>
          <w:rFonts w:ascii="Times New Roman" w:eastAsia="Times New Roman" w:hAnsi="Times New Roman" w:cs="Times New Roman"/>
        </w:rPr>
        <w:t>, M. P. (2014).</w:t>
      </w:r>
      <w:r>
        <w:rPr>
          <w:rFonts w:ascii="Times New Roman" w:eastAsia="Times New Roman" w:hAnsi="Times New Roman" w:cs="Times New Roman"/>
        </w:rPr>
        <w:br/>
        <w:t>Positive and negative spillover of pro-environmental behavior: An integrative review</w:t>
      </w:r>
      <w:r>
        <w:rPr>
          <w:rFonts w:ascii="Times New Roman" w:eastAsia="Times New Roman" w:hAnsi="Times New Roman" w:cs="Times New Roman"/>
        </w:rPr>
        <w:br/>
        <w:t xml:space="preserve">and theoretical framework. </w:t>
      </w:r>
      <w:r>
        <w:rPr>
          <w:rFonts w:ascii="Times New Roman" w:eastAsia="Times New Roman" w:hAnsi="Times New Roman" w:cs="Times New Roman"/>
          <w:i/>
          <w:iCs/>
        </w:rPr>
        <w:t>Global Environmental Change, 29</w:t>
      </w:r>
      <w:r>
        <w:rPr>
          <w:rFonts w:ascii="Times New Roman" w:eastAsia="Times New Roman" w:hAnsi="Times New Roman" w:cs="Times New Roman"/>
        </w:rPr>
        <w:t>, 127–138.</w:t>
      </w:r>
    </w:p>
    <w:p w14:paraId="0000026F"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Tyson, A., &amp; Kennedy, B. (2023). How Americans view future harms from climate change in their community and around the U.S. Pew Research Center report, October 25.</w:t>
      </w:r>
    </w:p>
    <w:p w14:paraId="00000270"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Ungemach, C., Camilleri, A. R., Johnson, E. J., </w:t>
      </w:r>
      <w:proofErr w:type="spellStart"/>
      <w:r>
        <w:rPr>
          <w:rFonts w:ascii="Times New Roman" w:eastAsia="Times New Roman" w:hAnsi="Times New Roman" w:cs="Times New Roman"/>
        </w:rPr>
        <w:t>Larrick</w:t>
      </w:r>
      <w:proofErr w:type="spellEnd"/>
      <w:r>
        <w:rPr>
          <w:rFonts w:ascii="Times New Roman" w:eastAsia="Times New Roman" w:hAnsi="Times New Roman" w:cs="Times New Roman"/>
        </w:rPr>
        <w:t>, R. P., &amp; Weber, E. U. (2018). Trans</w:t>
      </w:r>
      <w:r>
        <w:rPr>
          <w:rFonts w:ascii="Times New Roman" w:eastAsia="Times New Roman" w:hAnsi="Times New Roman" w:cs="Times New Roman"/>
        </w:rPr>
        <w:t xml:space="preserve">lated attributes as choice architecture: Aligning objectives and choices through decision signposts. </w:t>
      </w:r>
      <w:r>
        <w:rPr>
          <w:rFonts w:ascii="Times New Roman" w:eastAsia="Times New Roman" w:hAnsi="Times New Roman" w:cs="Times New Roman"/>
          <w:i/>
          <w:iCs/>
        </w:rPr>
        <w:t>Management Science</w:t>
      </w:r>
      <w:r>
        <w:rPr>
          <w:rFonts w:ascii="Times New Roman" w:eastAsia="Times New Roman" w:hAnsi="Times New Roman" w:cs="Times New Roman"/>
        </w:rPr>
        <w:t xml:space="preserve">, </w:t>
      </w:r>
      <w:r>
        <w:rPr>
          <w:rFonts w:ascii="Times New Roman" w:eastAsia="Times New Roman" w:hAnsi="Times New Roman" w:cs="Times New Roman"/>
          <w:i/>
          <w:iCs/>
        </w:rPr>
        <w:t>64</w:t>
      </w:r>
      <w:r>
        <w:rPr>
          <w:rFonts w:ascii="Times New Roman" w:eastAsia="Times New Roman" w:hAnsi="Times New Roman" w:cs="Times New Roman"/>
        </w:rPr>
        <w:t>(5), 2445–2459.</w:t>
      </w:r>
    </w:p>
    <w:p w14:paraId="00000271"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Vadakkepatt</w:t>
      </w:r>
      <w:proofErr w:type="spellEnd"/>
      <w:r>
        <w:rPr>
          <w:rFonts w:ascii="Times New Roman" w:eastAsia="Times New Roman" w:hAnsi="Times New Roman" w:cs="Times New Roman"/>
        </w:rPr>
        <w:t xml:space="preserve">, G. G., </w:t>
      </w:r>
      <w:proofErr w:type="spellStart"/>
      <w:r>
        <w:rPr>
          <w:rFonts w:ascii="Times New Roman" w:eastAsia="Times New Roman" w:hAnsi="Times New Roman" w:cs="Times New Roman"/>
        </w:rPr>
        <w:t>Winterich</w:t>
      </w:r>
      <w:proofErr w:type="spellEnd"/>
      <w:r>
        <w:rPr>
          <w:rFonts w:ascii="Times New Roman" w:eastAsia="Times New Roman" w:hAnsi="Times New Roman" w:cs="Times New Roman"/>
        </w:rPr>
        <w:t xml:space="preserve">, K. P., Mittal, V., Zinn, W., </w:t>
      </w:r>
      <w:proofErr w:type="spellStart"/>
      <w:r>
        <w:rPr>
          <w:rFonts w:ascii="Times New Roman" w:eastAsia="Times New Roman" w:hAnsi="Times New Roman" w:cs="Times New Roman"/>
        </w:rPr>
        <w:t>Beitelspacher</w:t>
      </w:r>
      <w:proofErr w:type="spellEnd"/>
      <w:r>
        <w:rPr>
          <w:rFonts w:ascii="Times New Roman" w:eastAsia="Times New Roman" w:hAnsi="Times New Roman" w:cs="Times New Roman"/>
        </w:rPr>
        <w:t xml:space="preserve">, L., Aloysius, J., ... &amp; </w:t>
      </w:r>
      <w:proofErr w:type="spellStart"/>
      <w:r>
        <w:rPr>
          <w:rFonts w:ascii="Times New Roman" w:eastAsia="Times New Roman" w:hAnsi="Times New Roman" w:cs="Times New Roman"/>
        </w:rPr>
        <w:t>Reilman</w:t>
      </w:r>
      <w:proofErr w:type="spellEnd"/>
      <w:r>
        <w:rPr>
          <w:rFonts w:ascii="Times New Roman" w:eastAsia="Times New Roman" w:hAnsi="Times New Roman" w:cs="Times New Roman"/>
        </w:rPr>
        <w:t xml:space="preserve">, J. (2021). Sustainable retailing. </w:t>
      </w:r>
      <w:r>
        <w:rPr>
          <w:rFonts w:ascii="Times New Roman" w:eastAsia="Times New Roman" w:hAnsi="Times New Roman" w:cs="Times New Roman"/>
          <w:i/>
          <w:iCs/>
        </w:rPr>
        <w:t>Journal of Retailing, 97</w:t>
      </w:r>
      <w:r>
        <w:rPr>
          <w:rFonts w:ascii="Times New Roman" w:eastAsia="Times New Roman" w:hAnsi="Times New Roman" w:cs="Times New Roman"/>
        </w:rPr>
        <w:t>(1), 62-80.</w:t>
      </w:r>
    </w:p>
    <w:p w14:paraId="00000272"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Videras</w:t>
      </w:r>
      <w:proofErr w:type="spellEnd"/>
      <w:r>
        <w:rPr>
          <w:rFonts w:ascii="Times New Roman" w:eastAsia="Times New Roman" w:hAnsi="Times New Roman" w:cs="Times New Roman"/>
        </w:rPr>
        <w:t>, J., Owen, A. L., Conover, E., &amp; Wu, S. (2012). The influence of socia</w:t>
      </w:r>
      <w:r>
        <w:rPr>
          <w:rFonts w:ascii="Times New Roman" w:eastAsia="Times New Roman" w:hAnsi="Times New Roman" w:cs="Times New Roman"/>
        </w:rPr>
        <w:t xml:space="preserve">l relationships on pro-environment behaviors. </w:t>
      </w:r>
      <w:r>
        <w:rPr>
          <w:rFonts w:ascii="Times New Roman" w:eastAsia="Times New Roman" w:hAnsi="Times New Roman" w:cs="Times New Roman"/>
          <w:i/>
          <w:iCs/>
        </w:rPr>
        <w:t>Journal of Environmental Economics and Management, 63</w:t>
      </w:r>
      <w:r>
        <w:rPr>
          <w:rFonts w:ascii="Times New Roman" w:eastAsia="Times New Roman" w:hAnsi="Times New Roman" w:cs="Times New Roman"/>
        </w:rPr>
        <w:t>(1), 35–50.</w:t>
      </w:r>
    </w:p>
    <w:p w14:paraId="00000273"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Walmart. (2025, September). Walmart Sustainability Hub. https://walmartsustainabilityhub. com/home/</w:t>
      </w:r>
    </w:p>
    <w:p w14:paraId="00000274"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White, K., Habib, R., &amp; Hardisty, D. J. (2019</w:t>
      </w:r>
      <w:r>
        <w:rPr>
          <w:rFonts w:ascii="Times New Roman" w:eastAsia="Times New Roman" w:hAnsi="Times New Roman" w:cs="Times New Roman"/>
        </w:rPr>
        <w:t xml:space="preserve">). How to SHIFT consumer behaviors to be more sustainable: A literature review and guiding framework. </w:t>
      </w:r>
      <w:r>
        <w:rPr>
          <w:rFonts w:ascii="Times New Roman" w:eastAsia="Times New Roman" w:hAnsi="Times New Roman" w:cs="Times New Roman"/>
          <w:i/>
          <w:iCs/>
        </w:rPr>
        <w:t>Journal of Marketing, 83</w:t>
      </w:r>
      <w:r>
        <w:rPr>
          <w:rFonts w:ascii="Times New Roman" w:eastAsia="Times New Roman" w:hAnsi="Times New Roman" w:cs="Times New Roman"/>
        </w:rPr>
        <w:t>(3), 22–49.</w:t>
      </w:r>
    </w:p>
    <w:p w14:paraId="00000275"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t xml:space="preserve">White, K., Hardisty, D. J., &amp; Habib, R. (2019). The elusive green consumer. </w:t>
      </w:r>
      <w:r>
        <w:rPr>
          <w:rFonts w:ascii="Times New Roman" w:eastAsia="Times New Roman" w:hAnsi="Times New Roman" w:cs="Times New Roman"/>
          <w:i/>
          <w:iCs/>
        </w:rPr>
        <w:t>Harvard Business Review, 1</w:t>
      </w:r>
      <w:r>
        <w:rPr>
          <w:rFonts w:ascii="Times New Roman" w:eastAsia="Times New Roman" w:hAnsi="Times New Roman" w:cs="Times New Roman"/>
        </w:rPr>
        <w:t>1(1), 124-133.</w:t>
      </w:r>
    </w:p>
    <w:p w14:paraId="00000276" w14:textId="77777777" w:rsidR="00AB4CD0" w:rsidRDefault="004C12C0">
      <w:pPr>
        <w:spacing w:before="200"/>
        <w:ind w:left="360" w:hanging="360"/>
        <w:rPr>
          <w:rFonts w:ascii="Times New Roman" w:eastAsia="Times New Roman" w:hAnsi="Times New Roman" w:cs="Times New Roman"/>
        </w:rPr>
      </w:pPr>
      <w:r>
        <w:rPr>
          <w:rFonts w:ascii="Times New Roman" w:eastAsia="Times New Roman" w:hAnsi="Times New Roman" w:cs="Times New Roman"/>
        </w:rPr>
        <w:lastRenderedPageBreak/>
        <w:t>W</w:t>
      </w:r>
      <w:r>
        <w:rPr>
          <w:rFonts w:ascii="Times New Roman" w:eastAsia="Times New Roman" w:hAnsi="Times New Roman" w:cs="Times New Roman"/>
        </w:rPr>
        <w:t xml:space="preserve">hite, K., &amp; Simpson, B. (2013). When do (and don't) normative appeals influence sustainable consumer behaviors? </w:t>
      </w:r>
      <w:r>
        <w:rPr>
          <w:rFonts w:ascii="Times New Roman" w:eastAsia="Times New Roman" w:hAnsi="Times New Roman" w:cs="Times New Roman"/>
          <w:i/>
          <w:iCs/>
        </w:rPr>
        <w:t>Journal of Marketing, 77</w:t>
      </w:r>
      <w:r>
        <w:rPr>
          <w:rFonts w:ascii="Times New Roman" w:eastAsia="Times New Roman" w:hAnsi="Times New Roman" w:cs="Times New Roman"/>
        </w:rPr>
        <w:t>(2), 78–95.</w:t>
      </w:r>
    </w:p>
    <w:p w14:paraId="00000277"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Yuriev</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Boiral</w:t>
      </w:r>
      <w:proofErr w:type="spellEnd"/>
      <w:r>
        <w:rPr>
          <w:rFonts w:ascii="Times New Roman" w:eastAsia="Times New Roman" w:hAnsi="Times New Roman" w:cs="Times New Roman"/>
        </w:rPr>
        <w:t>, O. &amp; Talbot, D. (2022). Is there a place for employee-driven pro-environmental innovatio</w:t>
      </w:r>
      <w:r>
        <w:rPr>
          <w:rFonts w:ascii="Times New Roman" w:eastAsia="Times New Roman" w:hAnsi="Times New Roman" w:cs="Times New Roman"/>
        </w:rPr>
        <w:t xml:space="preserve">ns? The case of public organizations. </w:t>
      </w:r>
      <w:r>
        <w:rPr>
          <w:rFonts w:ascii="Times New Roman" w:eastAsia="Times New Roman" w:hAnsi="Times New Roman" w:cs="Times New Roman"/>
          <w:i/>
          <w:iCs/>
        </w:rPr>
        <w:t>Public Management Review, 24</w:t>
      </w:r>
      <w:r>
        <w:rPr>
          <w:rFonts w:ascii="Times New Roman" w:eastAsia="Times New Roman" w:hAnsi="Times New Roman" w:cs="Times New Roman"/>
        </w:rPr>
        <w:t>(9), 1383–1410.</w:t>
      </w:r>
    </w:p>
    <w:p w14:paraId="00000278" w14:textId="77777777" w:rsidR="00AB4CD0" w:rsidRDefault="004C12C0">
      <w:pPr>
        <w:spacing w:before="200"/>
        <w:ind w:left="360" w:hanging="360"/>
        <w:rPr>
          <w:rFonts w:ascii="Times New Roman" w:eastAsia="Times New Roman" w:hAnsi="Times New Roman" w:cs="Times New Roman"/>
        </w:rPr>
      </w:pPr>
      <w:proofErr w:type="spellStart"/>
      <w:r>
        <w:rPr>
          <w:rFonts w:ascii="Times New Roman" w:eastAsia="Times New Roman" w:hAnsi="Times New Roman" w:cs="Times New Roman"/>
        </w:rPr>
        <w:t>Zalando</w:t>
      </w:r>
      <w:proofErr w:type="spellEnd"/>
      <w:r>
        <w:rPr>
          <w:rFonts w:ascii="Times New Roman" w:eastAsia="Times New Roman" w:hAnsi="Times New Roman" w:cs="Times New Roman"/>
        </w:rPr>
        <w:t xml:space="preserve">. (2020, October 8). </w:t>
      </w:r>
      <w:r>
        <w:rPr>
          <w:rFonts w:ascii="Times New Roman" w:eastAsia="Times New Roman" w:hAnsi="Times New Roman" w:cs="Times New Roman"/>
          <w:i/>
          <w:iCs/>
        </w:rPr>
        <w:t xml:space="preserve">Six Months On: </w:t>
      </w:r>
      <w:proofErr w:type="spellStart"/>
      <w:r>
        <w:rPr>
          <w:rFonts w:ascii="Times New Roman" w:eastAsia="Times New Roman" w:hAnsi="Times New Roman" w:cs="Times New Roman"/>
          <w:i/>
          <w:iCs/>
        </w:rPr>
        <w:t>Zalando</w:t>
      </w:r>
      <w:proofErr w:type="spellEnd"/>
      <w:r>
        <w:rPr>
          <w:rFonts w:ascii="Times New Roman" w:eastAsia="Times New Roman" w:hAnsi="Times New Roman" w:cs="Times New Roman"/>
          <w:i/>
          <w:iCs/>
        </w:rPr>
        <w:t xml:space="preserve"> Reflects on </w:t>
      </w:r>
      <w:proofErr w:type="spellStart"/>
      <w:r>
        <w:rPr>
          <w:rFonts w:ascii="Times New Roman" w:eastAsia="Times New Roman" w:hAnsi="Times New Roman" w:cs="Times New Roman"/>
          <w:i/>
          <w:iCs/>
        </w:rPr>
        <w:t>Higg</w:t>
      </w:r>
      <w:proofErr w:type="spellEnd"/>
      <w:r>
        <w:rPr>
          <w:rFonts w:ascii="Times New Roman" w:eastAsia="Times New Roman" w:hAnsi="Times New Roman" w:cs="Times New Roman"/>
          <w:i/>
          <w:iCs/>
        </w:rPr>
        <w:t xml:space="preserve"> BRM Collaboration with SAC and </w:t>
      </w:r>
      <w:proofErr w:type="spellStart"/>
      <w:r>
        <w:rPr>
          <w:rFonts w:ascii="Times New Roman" w:eastAsia="Times New Roman" w:hAnsi="Times New Roman" w:cs="Times New Roman"/>
          <w:i/>
          <w:iCs/>
        </w:rPr>
        <w:t>Higg</w:t>
      </w:r>
      <w:proofErr w:type="spellEnd"/>
      <w:r>
        <w:rPr>
          <w:rFonts w:ascii="Times New Roman" w:eastAsia="Times New Roman" w:hAnsi="Times New Roman" w:cs="Times New Roman"/>
          <w:i/>
          <w:iCs/>
        </w:rPr>
        <w:t xml:space="preserve"> Co.</w:t>
      </w:r>
      <w:r>
        <w:rPr>
          <w:rFonts w:ascii="Times New Roman" w:eastAsia="Times New Roman" w:hAnsi="Times New Roman" w:cs="Times New Roman"/>
        </w:rPr>
        <w:t xml:space="preserve"> https://corporate.zalando.com/en/people-planet/six-months-zalando-</w:t>
      </w:r>
      <w:r>
        <w:rPr>
          <w:rFonts w:ascii="Times New Roman" w:eastAsia="Times New Roman" w:hAnsi="Times New Roman" w:cs="Times New Roman"/>
        </w:rPr>
        <w:t xml:space="preserve"> reflects-</w:t>
      </w:r>
      <w:proofErr w:type="spellStart"/>
      <w:r>
        <w:rPr>
          <w:rFonts w:ascii="Times New Roman" w:eastAsia="Times New Roman" w:hAnsi="Times New Roman" w:cs="Times New Roman"/>
        </w:rPr>
        <w:t>higg</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brm</w:t>
      </w:r>
      <w:proofErr w:type="spellEnd"/>
      <w:r>
        <w:rPr>
          <w:rFonts w:ascii="Times New Roman" w:eastAsia="Times New Roman" w:hAnsi="Times New Roman" w:cs="Times New Roman"/>
        </w:rPr>
        <w:t>-collaboration-sac-and-</w:t>
      </w:r>
      <w:proofErr w:type="spellStart"/>
      <w:r>
        <w:rPr>
          <w:rFonts w:ascii="Times New Roman" w:eastAsia="Times New Roman" w:hAnsi="Times New Roman" w:cs="Times New Roman"/>
        </w:rPr>
        <w:t>higg</w:t>
      </w:r>
      <w:proofErr w:type="spellEnd"/>
      <w:r>
        <w:rPr>
          <w:rFonts w:ascii="Times New Roman" w:eastAsia="Times New Roman" w:hAnsi="Times New Roman" w:cs="Times New Roman"/>
        </w:rPr>
        <w:t>-co</w:t>
      </w:r>
    </w:p>
    <w:sectPr w:rsidR="00AB4CD0">
      <w:footerReference w:type="even" r:id="rId50"/>
      <w:footerReference w:type="default" r:id="rId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EE5CE" w14:textId="77777777" w:rsidR="004C12C0" w:rsidRDefault="004C12C0">
      <w:r>
        <w:separator/>
      </w:r>
    </w:p>
  </w:endnote>
  <w:endnote w:type="continuationSeparator" w:id="0">
    <w:p w14:paraId="65C29865" w14:textId="77777777" w:rsidR="004C12C0" w:rsidRDefault="004C1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Play">
    <w:charset w:val="00"/>
    <w:family w:val="auto"/>
    <w:pitch w:val="default"/>
    <w:embedRegular r:id="rId1" w:fontKey="{AB776D5C-DD0A-49EA-9B5F-ABDB118B867E}"/>
    <w:embedBold r:id="rId2" w:fontKey="{96BE7E6A-606D-4889-ABDB-78552C4EAB03}"/>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46D7D951-73A5-4691-891A-13411B64FF42}"/>
  </w:font>
  <w:font w:name="Cardo">
    <w:charset w:val="00"/>
    <w:family w:val="auto"/>
    <w:pitch w:val="default"/>
    <w:embedRegular r:id="rId4" w:fontKey="{688B62BD-1F85-4A16-9C63-1262690102EA}"/>
    <w:embedBold r:id="rId5" w:fontKey="{2C3E534E-94C1-41AC-B8A1-44738B2F4EF1}"/>
    <w:embedItalic r:id="rId6" w:fontKey="{F6795A8F-4614-4F52-84DB-2B5638E334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87" w14:textId="77777777" w:rsidR="00AB4CD0" w:rsidRDefault="004C12C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00000288" w14:textId="77777777" w:rsidR="00AB4CD0" w:rsidRDefault="00AB4CD0">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89" w14:textId="7ECDF784" w:rsidR="00AB4CD0" w:rsidRDefault="004C12C0">
    <w:pPr>
      <w:pBdr>
        <w:top w:val="nil"/>
        <w:left w:val="nil"/>
        <w:bottom w:val="nil"/>
        <w:right w:val="nil"/>
        <w:between w:val="nil"/>
      </w:pBdr>
      <w:tabs>
        <w:tab w:val="center" w:pos="4513"/>
        <w:tab w:val="right" w:pos="902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6710D8">
      <w:rPr>
        <w:rFonts w:ascii="Times New Roman" w:eastAsia="Times New Roman" w:hAnsi="Times New Roman" w:cs="Times New Roman"/>
        <w:color w:val="000000"/>
      </w:rPr>
      <w:fldChar w:fldCharType="separate"/>
    </w:r>
    <w:r w:rsidR="006710D8">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28A" w14:textId="77777777" w:rsidR="00AB4CD0" w:rsidRDefault="00AB4CD0">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0B8A5" w14:textId="77777777" w:rsidR="004C12C0" w:rsidRDefault="004C12C0">
      <w:r>
        <w:separator/>
      </w:r>
    </w:p>
  </w:footnote>
  <w:footnote w:type="continuationSeparator" w:id="0">
    <w:p w14:paraId="68239CCC" w14:textId="77777777" w:rsidR="004C12C0" w:rsidRDefault="004C12C0">
      <w:r>
        <w:continuationSeparator/>
      </w:r>
    </w:p>
  </w:footnote>
  <w:footnote w:id="1">
    <w:p w14:paraId="00000279" w14:textId="77777777" w:rsidR="00AB4CD0" w:rsidRDefault="004C12C0">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w:t>
      </w:r>
      <w:hyperlink r:id="rId1">
        <w:r>
          <w:rPr>
            <w:rFonts w:ascii="Times New Roman" w:eastAsia="Times New Roman" w:hAnsi="Times New Roman" w:cs="Times New Roman"/>
            <w:color w:val="1155CC"/>
            <w:sz w:val="18"/>
            <w:szCs w:val="18"/>
            <w:highlight w:val="white"/>
            <w:u w:val="single"/>
          </w:rPr>
          <w:t>https://ellenmacarthurfoundation.org/topics/circular-economy-introduction/overview</w:t>
        </w:r>
      </w:hyperlink>
    </w:p>
  </w:footnote>
  <w:footnote w:id="2">
    <w:p w14:paraId="0000027A" w14:textId="77777777" w:rsidR="00AB4CD0" w:rsidRDefault="004C12C0">
      <w:pPr>
        <w:rPr>
          <w:rFonts w:ascii="Times New Roman" w:eastAsia="Times New Roman" w:hAnsi="Times New Roman" w:cs="Times New Roman"/>
          <w:sz w:val="16"/>
          <w:szCs w:val="16"/>
        </w:rPr>
      </w:pPr>
      <w:r>
        <w:rPr>
          <w:rStyle w:val="FootnoteReference"/>
        </w:rPr>
        <w:footnoteRef/>
      </w:r>
      <w:r>
        <w:rPr>
          <w:rFonts w:ascii="Times New Roman" w:eastAsia="Times New Roman" w:hAnsi="Times New Roman" w:cs="Times New Roman"/>
          <w:sz w:val="18"/>
          <w:szCs w:val="18"/>
        </w:rPr>
        <w:t xml:space="preserve"> See </w:t>
      </w:r>
      <w:hyperlink r:id="rId2">
        <w:r>
          <w:rPr>
            <w:rFonts w:ascii="Times New Roman" w:eastAsia="Times New Roman" w:hAnsi="Times New Roman" w:cs="Times New Roman"/>
            <w:color w:val="1155CC"/>
            <w:sz w:val="18"/>
            <w:szCs w:val="18"/>
            <w:u w:val="single"/>
          </w:rPr>
          <w:t>https://sciencebasedtargets.org/</w:t>
        </w:r>
      </w:hyperlink>
      <w:r>
        <w:rPr>
          <w:rFonts w:ascii="Times New Roman" w:eastAsia="Times New Roman" w:hAnsi="Times New Roman" w:cs="Times New Roman"/>
          <w:sz w:val="18"/>
          <w:szCs w:val="18"/>
        </w:rPr>
        <w:t xml:space="preserve"> for more background information. </w:t>
      </w:r>
    </w:p>
  </w:footnote>
  <w:footnote w:id="3">
    <w:p w14:paraId="0000027B" w14:textId="77777777" w:rsidR="00AB4CD0" w:rsidRDefault="004C12C0">
      <w:pPr>
        <w:pBdr>
          <w:top w:val="nil"/>
          <w:left w:val="nil"/>
          <w:bottom w:val="nil"/>
          <w:right w:val="nil"/>
          <w:between w:val="nil"/>
        </w:pBd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Any self-targeted behavioral change is outside our framework's scope.</w:t>
      </w:r>
    </w:p>
  </w:footnote>
  <w:footnote w:id="4">
    <w:p w14:paraId="0000028B" w14:textId="77777777" w:rsidR="00AB4CD0" w:rsidRDefault="004C12C0">
      <w:pPr>
        <w:tabs>
          <w:tab w:val="center" w:pos="4513"/>
          <w:tab w:val="right" w:pos="9026"/>
        </w:tabs>
        <w:rPr>
          <w:rFonts w:ascii="Times New Roman" w:eastAsia="Times New Roman" w:hAnsi="Times New Roman" w:cs="Times New Roman"/>
          <w:sz w:val="20"/>
          <w:szCs w:val="20"/>
        </w:rPr>
      </w:pPr>
      <w:r>
        <w:rPr>
          <w:rStyle w:val="FootnoteReference"/>
        </w:rPr>
        <w:footnoteRef/>
      </w:r>
      <w:sdt>
        <w:sdtPr>
          <w:tag w:val="goog_rdk_38"/>
          <w:id w:val="-1625890468"/>
        </w:sdtPr>
        <w:sdtEndPr/>
        <w:sdtContent/>
      </w:sdt>
      <w:sdt>
        <w:sdtPr>
          <w:tag w:val="goog_rdk_39"/>
          <w:id w:val="-1366555972"/>
        </w:sdtPr>
        <w:sdtEndPr/>
        <w:sdtContent/>
      </w:sdt>
      <w:sdt>
        <w:sdtPr>
          <w:tag w:val="goog_rdk_40"/>
          <w:id w:val="857469720"/>
        </w:sdtPr>
        <w:sdtEndPr/>
        <w:sdtContent/>
      </w:sdt>
      <w:sdt>
        <w:sdtPr>
          <w:tag w:val="goog_rdk_41"/>
          <w:id w:val="1595103065"/>
        </w:sdtPr>
        <w:sdtEndPr/>
        <w:sdtContent/>
      </w:sdt>
      <w:sdt>
        <w:sdtPr>
          <w:tag w:val="goog_rdk_42"/>
          <w:id w:val="-66824"/>
        </w:sdtPr>
        <w:sdtEndPr/>
        <w:sdtContent/>
      </w:sdt>
      <w:sdt>
        <w:sdtPr>
          <w:tag w:val="goog_rdk_43"/>
          <w:id w:val="-2129175319"/>
        </w:sdtPr>
        <w:sdtEndPr/>
        <w:sdtContent/>
      </w:sdt>
      <w:sdt>
        <w:sdtPr>
          <w:tag w:val="goog_rdk_44"/>
          <w:id w:val="-1539070821"/>
        </w:sdtPr>
        <w:sdtEndPr/>
        <w:sdtContent/>
      </w:sdt>
      <w:sdt>
        <w:sdtPr>
          <w:tag w:val="goog_rdk_45"/>
          <w:id w:val="-1635082334"/>
        </w:sdtPr>
        <w:sdtEndPr/>
        <w:sdtContent/>
      </w:sdt>
      <w:sdt>
        <w:sdtPr>
          <w:tag w:val="goog_rdk_46"/>
          <w:id w:val="1299808686"/>
        </w:sdtPr>
        <w:sdtEndPr/>
        <w:sdtContent/>
      </w:sdt>
      <w:r>
        <w:rPr>
          <w:rFonts w:ascii="Times New Roman" w:eastAsia="Times New Roman" w:hAnsi="Times New Roman" w:cs="Times New Roman"/>
          <w:sz w:val="20"/>
          <w:szCs w:val="20"/>
        </w:rPr>
        <w:t xml:space="preserve"> We </w:t>
      </w:r>
      <w:proofErr w:type="gramStart"/>
      <w:r>
        <w:rPr>
          <w:rFonts w:ascii="Times New Roman" w:eastAsia="Times New Roman" w:hAnsi="Times New Roman" w:cs="Times New Roman"/>
          <w:sz w:val="20"/>
          <w:szCs w:val="20"/>
        </w:rPr>
        <w:t>note  that</w:t>
      </w:r>
      <w:proofErr w:type="gramEnd"/>
      <w:r>
        <w:rPr>
          <w:rFonts w:ascii="Times New Roman" w:eastAsia="Times New Roman" w:hAnsi="Times New Roman" w:cs="Times New Roman"/>
          <w:sz w:val="20"/>
          <w:szCs w:val="20"/>
        </w:rPr>
        <w:t xml:space="preserve"> feasibility is conceptually related to costs (broadly defined), and impact to benefits (in its broadest sense), yet there are important di</w:t>
      </w:r>
      <w:r>
        <w:rPr>
          <w:rFonts w:ascii="Times New Roman" w:eastAsia="Times New Roman" w:hAnsi="Times New Roman" w:cs="Times New Roman"/>
          <w:sz w:val="20"/>
          <w:szCs w:val="20"/>
        </w:rPr>
        <w:t>stinctions from cost benefit analysis as well. For example, changing social norms around beef consumption in the United States might be low in feasibility (due to “the target’s resistance to behavioral change”), but it would be odd to conceptualize this as</w:t>
      </w:r>
      <w:r>
        <w:rPr>
          <w:rFonts w:ascii="Times New Roman" w:eastAsia="Times New Roman" w:hAnsi="Times New Roman" w:cs="Times New Roman"/>
          <w:sz w:val="20"/>
          <w:szCs w:val="20"/>
        </w:rPr>
        <w:t xml:space="preserve"> a “high cost” intervention; cost–benefit analysis typically implies rational actors and rational tradeoffs, whereas many environmental decisions are based on values and norms, thus costs and feasibility are often correlated but are distinct. The right con</w:t>
      </w:r>
      <w:r>
        <w:rPr>
          <w:rFonts w:ascii="Times New Roman" w:eastAsia="Times New Roman" w:hAnsi="Times New Roman" w:cs="Times New Roman"/>
          <w:sz w:val="20"/>
          <w:szCs w:val="20"/>
        </w:rPr>
        <w:t xml:space="preserve">fluence of events and efforts could feasibly change eating norms at relatively lower cost, while even huge amounts of time and money expenditure may have almost no impact on eating norms.  Cost–benefit analysis thus provides a framework that </w:t>
      </w:r>
      <w:proofErr w:type="gramStart"/>
      <w:r>
        <w:rPr>
          <w:rFonts w:ascii="Times New Roman" w:eastAsia="Times New Roman" w:hAnsi="Times New Roman" w:cs="Times New Roman"/>
          <w:sz w:val="20"/>
          <w:szCs w:val="20"/>
        </w:rPr>
        <w:t>is  related</w:t>
      </w:r>
      <w:proofErr w:type="gramEnd"/>
      <w:r>
        <w:rPr>
          <w:rFonts w:ascii="Times New Roman" w:eastAsia="Times New Roman" w:hAnsi="Times New Roman" w:cs="Times New Roman"/>
          <w:sz w:val="20"/>
          <w:szCs w:val="20"/>
        </w:rPr>
        <w:t xml:space="preserve"> to</w:t>
      </w:r>
      <w:r>
        <w:rPr>
          <w:rFonts w:ascii="Times New Roman" w:eastAsia="Times New Roman" w:hAnsi="Times New Roman" w:cs="Times New Roman"/>
          <w:sz w:val="20"/>
          <w:szCs w:val="20"/>
        </w:rPr>
        <w:t xml:space="preserve"> but distinct from feasibility–impact analysis; our terminology emphasizes the practical and environmental dimensions most relevant to retail sustainability decision-making.</w:t>
      </w:r>
    </w:p>
  </w:footnote>
  <w:footnote w:id="5">
    <w:p w14:paraId="0000028C" w14:textId="77777777" w:rsidR="00AB4CD0" w:rsidRDefault="004C12C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Throughout this paper, “impact” refers specifically to measurable environmental </w:t>
      </w:r>
      <w:r>
        <w:rPr>
          <w:rFonts w:ascii="Times New Roman" w:eastAsia="Times New Roman" w:hAnsi="Times New Roman" w:cs="Times New Roman"/>
          <w:sz w:val="20"/>
          <w:szCs w:val="20"/>
        </w:rPr>
        <w:t>outcomes. While interventions may also generate symbolic, reputational, or normative effects, we treat these as distinct from environmental impact.</w:t>
      </w:r>
    </w:p>
  </w:footnote>
  <w:footnote w:id="6">
    <w:p w14:paraId="0000027C" w14:textId="77777777" w:rsidR="00AB4CD0" w:rsidRDefault="004C12C0">
      <w:pP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sz w:val="18"/>
          <w:szCs w:val="18"/>
        </w:rPr>
        <w:t xml:space="preserve"> </w:t>
      </w:r>
      <w:hyperlink r:id="rId3">
        <w:r>
          <w:rPr>
            <w:rFonts w:ascii="Times New Roman" w:eastAsia="Times New Roman" w:hAnsi="Times New Roman" w:cs="Times New Roman"/>
            <w:color w:val="000000"/>
            <w:sz w:val="18"/>
            <w:szCs w:val="18"/>
          </w:rPr>
          <w:t>https://www.ikea.com/global/en/newsroom/innovation/launching-energy-insights-pilot-smart-energy-inspelning-240513/</w:t>
        </w:r>
      </w:hyperlink>
    </w:p>
  </w:footnote>
  <w:footnote w:id="7">
    <w:p w14:paraId="0000027D" w14:textId="77777777" w:rsidR="00AB4CD0" w:rsidRDefault="004C12C0">
      <w:pP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https://afdc.energy.gov/laws.</w:t>
      </w:r>
    </w:p>
  </w:footnote>
  <w:footnote w:id="8">
    <w:p w14:paraId="0000027E" w14:textId="77777777" w:rsidR="00AB4CD0" w:rsidRDefault="004C12C0">
      <w:pP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https://www.edmunds.com/electric-car/tax-credits-rebates-incentives.</w:t>
      </w:r>
    </w:p>
  </w:footnote>
  <w:footnote w:id="9">
    <w:p w14:paraId="0000027F" w14:textId="77777777" w:rsidR="00AB4CD0" w:rsidRDefault="004C12C0">
      <w:pP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https://us.sunpow</w:t>
      </w:r>
      <w:r>
        <w:rPr>
          <w:rFonts w:ascii="Times New Roman" w:eastAsia="Times New Roman" w:hAnsi="Times New Roman" w:cs="Times New Roman"/>
          <w:color w:val="000000"/>
          <w:sz w:val="18"/>
          <w:szCs w:val="18"/>
        </w:rPr>
        <w:t>er.com/solar-resources/ev-charger-rebates-incentives.</w:t>
      </w:r>
    </w:p>
  </w:footnote>
  <w:footnote w:id="10">
    <w:p w14:paraId="00000280" w14:textId="77777777" w:rsidR="00AB4CD0" w:rsidRDefault="004C12C0">
      <w:pP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https://news.gm.com/home.detail.html/Pages/topic/us/en/2024/dec/1205-selling-evs.html.</w:t>
      </w:r>
    </w:p>
  </w:footnote>
  <w:footnote w:id="11">
    <w:p w14:paraId="00000281" w14:textId="77777777" w:rsidR="00AB4CD0" w:rsidRDefault="004C12C0">
      <w:pPr>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https://www.electrifiq.org.</w:t>
      </w:r>
    </w:p>
  </w:footnote>
  <w:footnote w:id="12">
    <w:p w14:paraId="00000282" w14:textId="77777777" w:rsidR="00AB4CD0" w:rsidRDefault="004C12C0">
      <w:pPr>
        <w:rPr>
          <w:rFonts w:ascii="Times New Roman" w:eastAsia="Times New Roman" w:hAnsi="Times New Roman" w:cs="Times New Roman"/>
          <w:sz w:val="16"/>
          <w:szCs w:val="16"/>
        </w:rPr>
      </w:pPr>
      <w:r>
        <w:rPr>
          <w:rStyle w:val="FootnoteReference"/>
        </w:rPr>
        <w:footnoteRef/>
      </w:r>
      <w:r>
        <w:rPr>
          <w:rFonts w:ascii="Times New Roman" w:eastAsia="Times New Roman" w:hAnsi="Times New Roman" w:cs="Times New Roman"/>
          <w:color w:val="000000"/>
          <w:sz w:val="18"/>
          <w:szCs w:val="18"/>
        </w:rPr>
        <w:t xml:space="preserve"> https://pressroom.toyota.com/the-time-is-now-for-toyotas-all-new-2023-prius-and-p</w:t>
      </w:r>
      <w:r>
        <w:rPr>
          <w:rFonts w:ascii="Times New Roman" w:eastAsia="Times New Roman" w:hAnsi="Times New Roman" w:cs="Times New Roman"/>
          <w:color w:val="000000"/>
          <w:sz w:val="18"/>
          <w:szCs w:val="18"/>
        </w:rPr>
        <w:t>rius-prime.</w:t>
      </w:r>
    </w:p>
  </w:footnote>
  <w:footnote w:id="13">
    <w:p w14:paraId="00000283" w14:textId="77777777" w:rsidR="00AB4CD0" w:rsidRDefault="004C12C0">
      <w:pPr>
        <w:rPr>
          <w:rFonts w:ascii="Times New Roman" w:eastAsia="Times New Roman" w:hAnsi="Times New Roman" w:cs="Times New Roman"/>
          <w:sz w:val="18"/>
          <w:szCs w:val="18"/>
        </w:rPr>
      </w:pPr>
      <w:r>
        <w:rPr>
          <w:rStyle w:val="FootnoteReference"/>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shd w:val="clear" w:color="auto" w:fill="FCFCFC"/>
        </w:rPr>
        <w:t>The term combines “carrot,” symbolizing positive incentives over punishment, with “mob,” reflecting the coordinated, time-bound action.</w:t>
      </w:r>
    </w:p>
  </w:footnote>
  <w:footnote w:id="14">
    <w:p w14:paraId="00000284" w14:textId="77777777" w:rsidR="00AB4CD0" w:rsidRDefault="004C12C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18"/>
          <w:szCs w:val="18"/>
        </w:rPr>
        <w:t xml:space="preserve"> https://carrotmob.org/about</w:t>
      </w:r>
    </w:p>
  </w:footnote>
  <w:footnote w:id="15">
    <w:p w14:paraId="00000285" w14:textId="77777777" w:rsidR="00AB4CD0" w:rsidRDefault="004C12C0">
      <w:pPr>
        <w:rPr>
          <w:rFonts w:ascii="Times New Roman" w:eastAsia="Times New Roman" w:hAnsi="Times New Roman" w:cs="Times New Roman"/>
          <w:sz w:val="18"/>
          <w:szCs w:val="18"/>
        </w:rPr>
      </w:pPr>
      <w:r>
        <w:rPr>
          <w:rStyle w:val="FootnoteReference"/>
        </w:rPr>
        <w:footnoteRef/>
      </w:r>
      <w:r>
        <w:rPr>
          <w:rFonts w:ascii="Times New Roman" w:eastAsia="Times New Roman" w:hAnsi="Times New Roman" w:cs="Times New Roman"/>
          <w:sz w:val="18"/>
          <w:szCs w:val="18"/>
        </w:rPr>
        <w:t xml:space="preserve"> https://www.climateaction100.org/about/</w:t>
      </w:r>
    </w:p>
  </w:footnote>
  <w:footnote w:id="16">
    <w:p w14:paraId="00000286" w14:textId="77777777" w:rsidR="00AB4CD0" w:rsidRDefault="004C12C0">
      <w:pPr>
        <w:rPr>
          <w:rFonts w:ascii="Times New Roman" w:eastAsia="Times New Roman" w:hAnsi="Times New Roman" w:cs="Times New Roman"/>
          <w:sz w:val="18"/>
          <w:szCs w:val="18"/>
        </w:rPr>
      </w:pPr>
      <w:r>
        <w:rPr>
          <w:rStyle w:val="FootnoteReference"/>
        </w:rPr>
        <w:footnoteRef/>
      </w:r>
      <w:r>
        <w:rPr>
          <w:rFonts w:ascii="Times New Roman" w:eastAsia="Times New Roman" w:hAnsi="Times New Roman" w:cs="Times New Roman"/>
          <w:sz w:val="18"/>
          <w:szCs w:val="18"/>
        </w:rPr>
        <w:t xml:space="preserve"> We note that the literature also uses the terms “intended and unintended consequences” to loosely refer to targeted and non-targeted behaviors, but it seems to make an unnecessary assumption about what policymakers intended. Perhaps these terms imply that</w:t>
      </w:r>
      <w:r>
        <w:rPr>
          <w:rFonts w:ascii="Times New Roman" w:eastAsia="Times New Roman" w:hAnsi="Times New Roman" w:cs="Times New Roman"/>
          <w:sz w:val="18"/>
          <w:szCs w:val="18"/>
        </w:rPr>
        <w:t xml:space="preserve"> spillovers may arise but do not necessarily detract from the benefits of a policy.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C0356"/>
    <w:multiLevelType w:val="multilevel"/>
    <w:tmpl w:val="6808943C"/>
    <w:lvl w:ilvl="0">
      <w:start w:val="1"/>
      <w:numFmt w:val="decimal"/>
      <w:lvlText w:val="%1."/>
      <w:lvlJc w:val="left"/>
      <w:pPr>
        <w:ind w:left="360" w:hanging="360"/>
      </w:pPr>
      <w:rPr>
        <w:rFonts w:ascii="Times New Roman" w:eastAsia="Times New Roman" w:hAnsi="Times New Roman" w:cs="Times New Roman"/>
        <w:b/>
        <w:bCs/>
      </w:rPr>
    </w:lvl>
    <w:lvl w:ilvl="1">
      <w:start w:val="2"/>
      <w:numFmt w:val="lowerLetter"/>
      <w:lvlText w:val="%2."/>
      <w:lvlJc w:val="left"/>
      <w:pPr>
        <w:ind w:left="360" w:hanging="360"/>
      </w:pPr>
      <w:rPr>
        <w:b/>
        <w:bCs/>
      </w:rPr>
    </w:lvl>
    <w:lvl w:ilvl="2">
      <w:start w:val="1"/>
      <w:numFmt w:val="lowerRoman"/>
      <w:lvlText w:val="%3."/>
      <w:lvlJc w:val="right"/>
      <w:pPr>
        <w:ind w:left="720" w:hanging="720"/>
      </w:pPr>
      <w:rPr>
        <w:b/>
        <w:bCs/>
      </w:rPr>
    </w:lvl>
    <w:lvl w:ilvl="3">
      <w:start w:val="1"/>
      <w:numFmt w:val="decimal"/>
      <w:lvlText w:val="%4."/>
      <w:lvlJc w:val="left"/>
      <w:pPr>
        <w:ind w:left="720" w:hanging="720"/>
      </w:pPr>
      <w:rPr>
        <w:b/>
        <w:bCs/>
      </w:rPr>
    </w:lvl>
    <w:lvl w:ilvl="4">
      <w:start w:val="1"/>
      <w:numFmt w:val="lowerLetter"/>
      <w:lvlText w:val="%5."/>
      <w:lvlJc w:val="left"/>
      <w:pPr>
        <w:ind w:left="1080" w:hanging="1080"/>
      </w:pPr>
      <w:rPr>
        <w:b/>
        <w:bCs/>
      </w:rPr>
    </w:lvl>
    <w:lvl w:ilvl="5">
      <w:start w:val="1"/>
      <w:numFmt w:val="lowerRoman"/>
      <w:lvlText w:val="%6."/>
      <w:lvlJc w:val="right"/>
      <w:pPr>
        <w:ind w:left="1080" w:hanging="1080"/>
      </w:pPr>
      <w:rPr>
        <w:b/>
        <w:bCs/>
      </w:rPr>
    </w:lvl>
    <w:lvl w:ilvl="6">
      <w:start w:val="1"/>
      <w:numFmt w:val="decimal"/>
      <w:lvlText w:val="%7."/>
      <w:lvlJc w:val="left"/>
      <w:pPr>
        <w:ind w:left="1440" w:hanging="1440"/>
      </w:pPr>
      <w:rPr>
        <w:b/>
        <w:bCs/>
      </w:rPr>
    </w:lvl>
    <w:lvl w:ilvl="7">
      <w:start w:val="1"/>
      <w:numFmt w:val="lowerLetter"/>
      <w:lvlText w:val="%8."/>
      <w:lvlJc w:val="left"/>
      <w:pPr>
        <w:ind w:left="1440" w:hanging="1440"/>
      </w:pPr>
      <w:rPr>
        <w:b/>
        <w:bCs/>
      </w:rPr>
    </w:lvl>
    <w:lvl w:ilvl="8">
      <w:start w:val="1"/>
      <w:numFmt w:val="lowerRoman"/>
      <w:lvlText w:val="%9."/>
      <w:lvlJc w:val="right"/>
      <w:pPr>
        <w:ind w:left="1800" w:hanging="1800"/>
      </w:pPr>
      <w:rPr>
        <w:b/>
        <w:bCs/>
      </w:rPr>
    </w:lvl>
  </w:abstractNum>
  <w:abstractNum w:abstractNumId="1" w15:restartNumberingAfterBreak="0">
    <w:nsid w:val="291D025F"/>
    <w:multiLevelType w:val="multilevel"/>
    <w:tmpl w:val="383A5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A54021"/>
    <w:multiLevelType w:val="multilevel"/>
    <w:tmpl w:val="FCC6C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CD0"/>
    <w:rsid w:val="004C12C0"/>
    <w:rsid w:val="006710D8"/>
    <w:rsid w:val="00AB4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930BB"/>
  <w15:docId w15:val="{9EBEFE19-9D4B-42F0-B595-B14442AD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D41DF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1DF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1DF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41D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41D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1D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1D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1D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1D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D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D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DF4"/>
    <w:rPr>
      <w:rFonts w:eastAsiaTheme="majorEastAsia" w:cstheme="majorBidi"/>
      <w:color w:val="272727" w:themeColor="text1" w:themeTint="D8"/>
    </w:rPr>
  </w:style>
  <w:style w:type="character" w:customStyle="1" w:styleId="TitleChar">
    <w:name w:val="Title Char"/>
    <w:basedOn w:val="DefaultParagraphFont"/>
    <w:link w:val="Title"/>
    <w:uiPriority w:val="10"/>
    <w:rsid w:val="00D41DF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41D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D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41DF4"/>
    <w:rPr>
      <w:i/>
      <w:iCs/>
      <w:color w:val="404040" w:themeColor="text1" w:themeTint="BF"/>
    </w:rPr>
  </w:style>
  <w:style w:type="paragraph" w:styleId="ListParagraph">
    <w:name w:val="List Paragraph"/>
    <w:basedOn w:val="Normal"/>
    <w:uiPriority w:val="34"/>
    <w:qFormat/>
    <w:rsid w:val="00D41DF4"/>
    <w:pPr>
      <w:ind w:left="720"/>
      <w:contextualSpacing/>
    </w:pPr>
  </w:style>
  <w:style w:type="character" w:styleId="IntenseEmphasis">
    <w:name w:val="Intense Emphasis"/>
    <w:basedOn w:val="DefaultParagraphFont"/>
    <w:uiPriority w:val="21"/>
    <w:qFormat/>
    <w:rsid w:val="00D41DF4"/>
    <w:rPr>
      <w:i/>
      <w:iCs/>
      <w:color w:val="0F4761" w:themeColor="accent1" w:themeShade="BF"/>
    </w:rPr>
  </w:style>
  <w:style w:type="paragraph" w:styleId="IntenseQuote">
    <w:name w:val="Intense Quote"/>
    <w:basedOn w:val="Normal"/>
    <w:next w:val="Normal"/>
    <w:link w:val="IntenseQuoteChar"/>
    <w:uiPriority w:val="30"/>
    <w:qFormat/>
    <w:rsid w:val="00D41D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1DF4"/>
    <w:rPr>
      <w:i/>
      <w:iCs/>
      <w:color w:val="0F4761" w:themeColor="accent1" w:themeShade="BF"/>
    </w:rPr>
  </w:style>
  <w:style w:type="character" w:styleId="IntenseReference">
    <w:name w:val="Intense Reference"/>
    <w:basedOn w:val="DefaultParagraphFont"/>
    <w:uiPriority w:val="32"/>
    <w:qFormat/>
    <w:rsid w:val="00D41DF4"/>
    <w:rPr>
      <w:b/>
      <w:bCs/>
      <w:smallCaps/>
      <w:color w:val="0F4761" w:themeColor="accent1" w:themeShade="BF"/>
      <w:spacing w:val="5"/>
    </w:rPr>
  </w:style>
  <w:style w:type="character" w:styleId="FootnoteReference">
    <w:name w:val="footnote reference"/>
    <w:basedOn w:val="DefaultParagraphFont"/>
    <w:uiPriority w:val="99"/>
    <w:semiHidden/>
    <w:unhideWhenUsed/>
    <w:rsid w:val="005B5F22"/>
    <w:rPr>
      <w:vertAlign w:val="superscript"/>
    </w:rPr>
  </w:style>
  <w:style w:type="character" w:styleId="Hyperlink">
    <w:name w:val="Hyperlink"/>
    <w:basedOn w:val="DefaultParagraphFont"/>
    <w:uiPriority w:val="99"/>
    <w:unhideWhenUsed/>
    <w:rsid w:val="008B6678"/>
    <w:rPr>
      <w:color w:val="0000FF"/>
      <w:u w:val="single"/>
    </w:rPr>
  </w:style>
  <w:style w:type="paragraph" w:styleId="FootnoteText">
    <w:name w:val="footnote text"/>
    <w:basedOn w:val="Normal"/>
    <w:link w:val="FootnoteTextChar"/>
    <w:uiPriority w:val="99"/>
    <w:semiHidden/>
    <w:unhideWhenUsed/>
    <w:rsid w:val="008B6678"/>
    <w:rPr>
      <w:kern w:val="2"/>
      <w:sz w:val="20"/>
      <w:szCs w:val="20"/>
      <w:lang w:val="en-CA"/>
    </w:rPr>
  </w:style>
  <w:style w:type="character" w:customStyle="1" w:styleId="FootnoteTextChar">
    <w:name w:val="Footnote Text Char"/>
    <w:basedOn w:val="DefaultParagraphFont"/>
    <w:link w:val="FootnoteText"/>
    <w:uiPriority w:val="99"/>
    <w:semiHidden/>
    <w:rsid w:val="008B6678"/>
    <w:rPr>
      <w:kern w:val="2"/>
      <w:sz w:val="20"/>
      <w:szCs w:val="20"/>
      <w:lang w:val="en-CA"/>
    </w:rPr>
  </w:style>
  <w:style w:type="character" w:styleId="CommentReference">
    <w:name w:val="annotation reference"/>
    <w:basedOn w:val="DefaultParagraphFont"/>
    <w:uiPriority w:val="99"/>
    <w:semiHidden/>
    <w:unhideWhenUsed/>
    <w:rsid w:val="008B6678"/>
    <w:rPr>
      <w:sz w:val="16"/>
      <w:szCs w:val="16"/>
    </w:rPr>
  </w:style>
  <w:style w:type="paragraph" w:styleId="CommentText">
    <w:name w:val="annotation text"/>
    <w:basedOn w:val="Normal"/>
    <w:link w:val="CommentTextChar"/>
    <w:uiPriority w:val="99"/>
    <w:unhideWhenUsed/>
    <w:rsid w:val="008B6678"/>
    <w:pPr>
      <w:spacing w:after="160"/>
    </w:pPr>
    <w:rPr>
      <w:kern w:val="2"/>
      <w:sz w:val="20"/>
      <w:szCs w:val="20"/>
      <w:lang w:val="en-CA"/>
    </w:rPr>
  </w:style>
  <w:style w:type="character" w:customStyle="1" w:styleId="CommentTextChar">
    <w:name w:val="Comment Text Char"/>
    <w:basedOn w:val="DefaultParagraphFont"/>
    <w:link w:val="CommentText"/>
    <w:uiPriority w:val="99"/>
    <w:rsid w:val="008B6678"/>
    <w:rPr>
      <w:kern w:val="2"/>
      <w:sz w:val="20"/>
      <w:szCs w:val="20"/>
      <w:lang w:val="en-CA"/>
    </w:rPr>
  </w:style>
  <w:style w:type="character" w:styleId="FollowedHyperlink">
    <w:name w:val="FollowedHyperlink"/>
    <w:basedOn w:val="DefaultParagraphFont"/>
    <w:uiPriority w:val="99"/>
    <w:semiHidden/>
    <w:unhideWhenUsed/>
    <w:rsid w:val="00623D5E"/>
    <w:rPr>
      <w:color w:val="96607D" w:themeColor="followedHyperlink"/>
      <w:u w:val="single"/>
    </w:rPr>
  </w:style>
  <w:style w:type="character" w:styleId="UnresolvedMention">
    <w:name w:val="Unresolved Mention"/>
    <w:basedOn w:val="DefaultParagraphFont"/>
    <w:uiPriority w:val="99"/>
    <w:semiHidden/>
    <w:unhideWhenUsed/>
    <w:rsid w:val="00623D5E"/>
    <w:rPr>
      <w:color w:val="605E5C"/>
      <w:shd w:val="clear" w:color="auto" w:fill="E1DFDD"/>
    </w:rPr>
  </w:style>
  <w:style w:type="table" w:styleId="PlainTable1">
    <w:name w:val="Plain Table 1"/>
    <w:basedOn w:val="TableNormal"/>
    <w:uiPriority w:val="41"/>
    <w:rsid w:val="00AF222F"/>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F222F"/>
    <w:pPr>
      <w:spacing w:before="100" w:beforeAutospacing="1" w:after="100" w:afterAutospacing="1"/>
    </w:pPr>
    <w:rPr>
      <w:rFonts w:ascii="Times New Roman" w:eastAsia="Times New Roman" w:hAnsi="Times New Roman" w:cs="Times New Roman"/>
    </w:rPr>
  </w:style>
  <w:style w:type="character" w:customStyle="1" w:styleId="author">
    <w:name w:val="author"/>
    <w:basedOn w:val="DefaultParagraphFont"/>
    <w:rsid w:val="004E57BD"/>
  </w:style>
  <w:style w:type="character" w:customStyle="1" w:styleId="articletitle">
    <w:name w:val="articletitle"/>
    <w:basedOn w:val="DefaultParagraphFont"/>
    <w:rsid w:val="004E57BD"/>
  </w:style>
  <w:style w:type="character" w:customStyle="1" w:styleId="pubyear">
    <w:name w:val="pubyear"/>
    <w:basedOn w:val="DefaultParagraphFont"/>
    <w:rsid w:val="004E57BD"/>
  </w:style>
  <w:style w:type="character" w:customStyle="1" w:styleId="vol">
    <w:name w:val="vol"/>
    <w:basedOn w:val="DefaultParagraphFont"/>
    <w:rsid w:val="004E57BD"/>
  </w:style>
  <w:style w:type="character" w:customStyle="1" w:styleId="pagefirst">
    <w:name w:val="pagefirst"/>
    <w:basedOn w:val="DefaultParagraphFont"/>
    <w:rsid w:val="004E57BD"/>
  </w:style>
  <w:style w:type="character" w:customStyle="1" w:styleId="pagelast">
    <w:name w:val="pagelast"/>
    <w:basedOn w:val="DefaultParagraphFont"/>
    <w:rsid w:val="004E57BD"/>
  </w:style>
  <w:style w:type="paragraph" w:styleId="Revision">
    <w:name w:val="Revision"/>
    <w:hidden/>
    <w:uiPriority w:val="99"/>
    <w:semiHidden/>
    <w:rsid w:val="000E2062"/>
  </w:style>
  <w:style w:type="paragraph" w:styleId="CommentSubject">
    <w:name w:val="annotation subject"/>
    <w:basedOn w:val="CommentText"/>
    <w:next w:val="CommentText"/>
    <w:link w:val="CommentSubjectChar"/>
    <w:uiPriority w:val="99"/>
    <w:semiHidden/>
    <w:unhideWhenUsed/>
    <w:rsid w:val="003221B7"/>
    <w:pPr>
      <w:spacing w:after="0"/>
    </w:pPr>
    <w:rPr>
      <w:b/>
      <w:bCs/>
      <w:kern w:val="0"/>
      <w:lang w:val="en-US"/>
    </w:rPr>
  </w:style>
  <w:style w:type="character" w:customStyle="1" w:styleId="CommentSubjectChar">
    <w:name w:val="Comment Subject Char"/>
    <w:basedOn w:val="CommentTextChar"/>
    <w:link w:val="CommentSubject"/>
    <w:uiPriority w:val="99"/>
    <w:semiHidden/>
    <w:rsid w:val="003221B7"/>
    <w:rPr>
      <w:b/>
      <w:bCs/>
      <w:kern w:val="2"/>
      <w:sz w:val="20"/>
      <w:szCs w:val="20"/>
      <w:lang w:val="en-C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F19F8"/>
    <w:pPr>
      <w:tabs>
        <w:tab w:val="center" w:pos="4513"/>
        <w:tab w:val="right" w:pos="9026"/>
      </w:tabs>
    </w:pPr>
  </w:style>
  <w:style w:type="character" w:customStyle="1" w:styleId="HeaderChar">
    <w:name w:val="Header Char"/>
    <w:basedOn w:val="DefaultParagraphFont"/>
    <w:link w:val="Header"/>
    <w:uiPriority w:val="99"/>
    <w:rsid w:val="00CF19F8"/>
  </w:style>
  <w:style w:type="paragraph" w:styleId="Footer">
    <w:name w:val="footer"/>
    <w:basedOn w:val="Normal"/>
    <w:link w:val="FooterChar"/>
    <w:uiPriority w:val="99"/>
    <w:unhideWhenUsed/>
    <w:rsid w:val="00CF19F8"/>
    <w:pPr>
      <w:tabs>
        <w:tab w:val="center" w:pos="4513"/>
        <w:tab w:val="right" w:pos="9026"/>
      </w:tabs>
    </w:pPr>
  </w:style>
  <w:style w:type="character" w:customStyle="1" w:styleId="FooterChar">
    <w:name w:val="Footer Char"/>
    <w:basedOn w:val="DefaultParagraphFont"/>
    <w:link w:val="Footer"/>
    <w:uiPriority w:val="99"/>
    <w:rsid w:val="00CF19F8"/>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F323AB"/>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710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stories.starbucks.com/emea/stories/2022/hubbub-and-starbucks-launch-1m-bring-it-back-fund-to-boost-reuse/" TargetMode="External"/><Relationship Id="rId18" Type="http://schemas.openxmlformats.org/officeDocument/2006/relationships/hyperlink" Target="https://www.government.se/government-policy/taxes-and-tariffs/swedens-carbon-tax/" TargetMode="External"/><Relationship Id="rId26" Type="http://schemas.openxmlformats.org/officeDocument/2006/relationships/hyperlink" Target="https://www.climateaction100.org/about/" TargetMode="External"/><Relationship Id="rId39" Type="http://schemas.openxmlformats.org/officeDocument/2006/relationships/hyperlink" Target="https://opteraclimate.com/solutions/the-retail-sustainability-collective/" TargetMode="External"/><Relationship Id="rId21" Type="http://schemas.openxmlformats.org/officeDocument/2006/relationships/hyperlink" Target="https://news.gm.com/home.detail.html/Pages/topic/us/en/2024/dec/1205-selling-evs.html" TargetMode="External"/><Relationship Id="rId34" Type="http://schemas.openxmlformats.org/officeDocument/2006/relationships/hyperlink" Target="https://www.consilium.europa.eu/en/policies/paris-agreement-climate/" TargetMode="External"/><Relationship Id="rId42" Type="http://schemas.openxmlformats.org/officeDocument/2006/relationships/hyperlink" Target="https://www.ebayinc.com/stories/news/ebay-launches-new-destination-to-meet-surging-demand-for-certified-refurbished-products-from-top-brands/" TargetMode="External"/><Relationship Id="rId47" Type="http://schemas.openxmlformats.org/officeDocument/2006/relationships/hyperlink" Target="https://doi.org/10.1177/00222437241290157"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ge.com/en/clean-energy/electric-vehicles/empower-ev-program.html" TargetMode="External"/><Relationship Id="rId29" Type="http://schemas.openxmlformats.org/officeDocument/2006/relationships/hyperlink" Target="https://corporate.walmart.com/news/2019/02/26/walmart-announces-new-plastic-packaging-waste-reduction-commitments" TargetMode="External"/><Relationship Id="rId11" Type="http://schemas.openxmlformats.org/officeDocument/2006/relationships/hyperlink" Target="https://hmgroup.com/news/hm-first-fashion-company-to-launch-global-clothes-collecting-initiative" TargetMode="External"/><Relationship Id="rId24" Type="http://schemas.openxmlformats.org/officeDocument/2006/relationships/hyperlink" Target="https://www.uber.com/en-HK/newsroom/delivering-a-greener-future/" TargetMode="External"/><Relationship Id="rId32" Type="http://schemas.openxmlformats.org/officeDocument/2006/relationships/hyperlink" Target="https://www.gov.uk/government/news/far-reaching-ban-on-single-use-plastics-in-england" TargetMode="External"/><Relationship Id="rId37" Type="http://schemas.openxmlformats.org/officeDocument/2006/relationships/hyperlink" Target="https://www.cbsnews.com/news/starbucks-feeding-america-eliminate-food-waste-perishables/" TargetMode="External"/><Relationship Id="rId40" Type="http://schemas.openxmlformats.org/officeDocument/2006/relationships/hyperlink" Target="https://hmgroup.com/news/hm-first-fashion-company-to-launch-global-clothes-collecting-initiative" TargetMode="External"/><Relationship Id="rId45" Type="http://schemas.openxmlformats.org/officeDocument/2006/relationships/hyperlink" Target="https://blog.zomato.com/say-no-to-cutlery-in-food-delivery?utm_source=chatgpt.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vogue.com/article/gen-z-loves-shopping-hauls-can-they-ever-be-sustainable" TargetMode="External"/><Relationship Id="rId19" Type="http://schemas.openxmlformats.org/officeDocument/2006/relationships/hyperlink" Target="https://www.epa.gov/recalls/fuel-economy-label-updates" TargetMode="External"/><Relationship Id="rId31" Type="http://schemas.openxmlformats.org/officeDocument/2006/relationships/hyperlink" Target="https://www.nysenate.gov/legislation/bills/2021/A8352" TargetMode="External"/><Relationship Id="rId44" Type="http://schemas.openxmlformats.org/officeDocument/2006/relationships/hyperlink" Target="https://www.ebayinc.com/stories/news/ebay-launches-new-destination-to-meet-surging-demand-for-certified-refurbished-products-from-top-brands/?utm_source=chatgpt.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ewresearch.org/science/2023/10/25/how-americans-view-future-harms-from-climate-change-in-their-community-and-around-the-u-s/" TargetMode="External"/><Relationship Id="rId14" Type="http://schemas.openxmlformats.org/officeDocument/2006/relationships/hyperlink" Target="https://www.ikea.com/global/en/newsroom/innovation/launching-energy-insights-pilot-smart-energy-inspelning-240513/" TargetMode="External"/><Relationship Id="rId22" Type="http://schemas.openxmlformats.org/officeDocument/2006/relationships/hyperlink" Target="https://www.electrifiq.org" TargetMode="External"/><Relationship Id="rId27" Type="http://schemas.openxmlformats.org/officeDocument/2006/relationships/hyperlink" Target="https://climate.ec.europa.eu/eu-action/eu-emissions-trading-system-eu-ets/about-eu-ets_en" TargetMode="External"/><Relationship Id="rId30" Type="http://schemas.openxmlformats.org/officeDocument/2006/relationships/hyperlink" Target="https://blog.zomato.com/say-no-to-cutlery-in-food-delivery" TargetMode="External"/><Relationship Id="rId35" Type="http://schemas.openxmlformats.org/officeDocument/2006/relationships/hyperlink" Target="https://pirg.org/articles/its-prime-time-for-amazon-to-reduce-its-plastic-shipping-waste/" TargetMode="External"/><Relationship Id="rId43" Type="http://schemas.openxmlformats.org/officeDocument/2006/relationships/hyperlink" Target="https://www.aboutamazon.com/news/sustainability/amazon-launches-climate-pledge-friendly-program" TargetMode="External"/><Relationship Id="rId48" Type="http://schemas.openxmlformats.org/officeDocument/2006/relationships/hyperlink" Target="https://doi.org/10.1177/0008125617695287" TargetMode="External"/><Relationship Id="rId8" Type="http://schemas.openxmlformats.org/officeDocument/2006/relationships/hyperlink" Target="https://www.pewresearch.org/global/2022/08/31/climate-change-remains-top-global-threat-across-19-country-survey/"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lush.com/us/en_us/a/bring-it-back-our-new-look-recycling-scheme" TargetMode="External"/><Relationship Id="rId17" Type="http://schemas.openxmlformats.org/officeDocument/2006/relationships/hyperlink" Target="https://buynothingproject.org/" TargetMode="External"/><Relationship Id="rId25" Type="http://schemas.openxmlformats.org/officeDocument/2006/relationships/hyperlink" Target="https://pirg.org/about/" TargetMode="External"/><Relationship Id="rId33" Type="http://schemas.openxmlformats.org/officeDocument/2006/relationships/hyperlink" Target="https://www.ebayinc.com/stories/news/ebay-launches-new-destination-to-meet-surging-demand-for-certified-refurbished-products-from-top-brands/" TargetMode="External"/><Relationship Id="rId38" Type="http://schemas.openxmlformats.org/officeDocument/2006/relationships/hyperlink" Target="https://ideas.sideways6.com/article/examples-of-retailers-driving-sustainability-through-employee-ideas" TargetMode="External"/><Relationship Id="rId46" Type="http://schemas.openxmlformats.org/officeDocument/2006/relationships/hyperlink" Target="https://hmgroup.com/news/hm-first-fashion-company-to-launch-global-clothes-collecting-initiative/?utm_source=chatgpt.com" TargetMode="External"/><Relationship Id="rId20" Type="http://schemas.openxmlformats.org/officeDocument/2006/relationships/hyperlink" Target="https://www.energystar.gov/about" TargetMode="External"/><Relationship Id="rId41" Type="http://schemas.openxmlformats.org/officeDocument/2006/relationships/hyperlink" Target="https://stories.starbucks.com/emea/stories/2022/hubbub-and-starbucks-launch-1m-bring-it-back-fund-to-boost-reu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dc.energy.gov/laws/HOV" TargetMode="External"/><Relationship Id="rId23" Type="http://schemas.openxmlformats.org/officeDocument/2006/relationships/hyperlink" Target="https://jobs.zalando.com/en/our-culture/sustainability" TargetMode="External"/><Relationship Id="rId28" Type="http://schemas.openxmlformats.org/officeDocument/2006/relationships/hyperlink" Target="https://corporate.walmart.com/news/2019/02/26/walmart-announces-new-plastic-packaging-waste-reduction-commitments" TargetMode="External"/><Relationship Id="rId36" Type="http://schemas.openxmlformats.org/officeDocument/2006/relationships/hyperlink" Target="https://www.microsoft.com/en-us/sustainability/cloud" TargetMode="External"/><Relationship Id="rId49" Type="http://schemas.openxmlformats.org/officeDocument/2006/relationships/hyperlink" Target="https://stories.starbucks.com/emea/stories/2022/hubbub-and-starbucks-launch-1m-bring-it-back-fund-to-boost-reuse/?utm_source=chatgp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ikea.com/global/en/newsroom/innovation/launching-energy-insights-pilot-smart-energy-inspelning-240513/" TargetMode="External"/><Relationship Id="rId2" Type="http://schemas.openxmlformats.org/officeDocument/2006/relationships/hyperlink" Target="https://sciencebasedtargets.org/" TargetMode="External"/><Relationship Id="rId1" Type="http://schemas.openxmlformats.org/officeDocument/2006/relationships/hyperlink" Target="https://ellenmacarthurfoundation.org/topics/circular-economy-introduction/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kt0bWIV+sq8NHHUif6rz6R33ow==">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KAoCMTESIgogCAQqHAoLQUFBQnpwQ05WMkEQCBoLQUFBQnpwQ05WMkEaKAoCMTISIgogCAQqHAoLQUFBQnZoYy1mTWMQCBoLQUFBQnZoYy1mTWMaKAoCMTMSIgogCAQqHAoLQUFBQnZoYy1mTWMQCBoLQUFBQnZoYy1mUGM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17121</Words>
  <Characters>97591</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Glass</dc:creator>
  <cp:lastModifiedBy>Hardisty, David</cp:lastModifiedBy>
  <cp:revision>2</cp:revision>
  <dcterms:created xsi:type="dcterms:W3CDTF">2026-03-04T17:49:00Z</dcterms:created>
  <dcterms:modified xsi:type="dcterms:W3CDTF">2026-03-04T17:49:00Z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573501178e0e7ad1bd7d708f6fa756853e5c9d52ad3fb9407af7558fc29a227a</vt:lpwstr>
  </property>
</Properties>
</file>