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95955" w14:textId="77777777" w:rsidR="000963D5" w:rsidRDefault="000963D5" w:rsidP="000963D5">
      <w:pPr>
        <w:spacing w:line="480" w:lineRule="auto"/>
        <w:jc w:val="center"/>
        <w:rPr>
          <w:rFonts w:ascii="Times New Roman" w:hAnsi="Times New Roman"/>
        </w:rPr>
      </w:pPr>
      <w:bookmarkStart w:id="0" w:name="_Hlk47872230"/>
    </w:p>
    <w:p w14:paraId="4C500197" w14:textId="77777777" w:rsidR="000963D5" w:rsidRDefault="000963D5" w:rsidP="000963D5">
      <w:pPr>
        <w:spacing w:line="480" w:lineRule="auto"/>
        <w:jc w:val="center"/>
        <w:rPr>
          <w:rFonts w:ascii="Times New Roman" w:hAnsi="Times New Roman"/>
        </w:rPr>
      </w:pPr>
    </w:p>
    <w:p w14:paraId="78DF34DD" w14:textId="77777777" w:rsidR="000963D5" w:rsidRDefault="000963D5" w:rsidP="000963D5">
      <w:pPr>
        <w:spacing w:line="480" w:lineRule="auto"/>
        <w:jc w:val="center"/>
        <w:rPr>
          <w:rFonts w:ascii="Times New Roman" w:hAnsi="Times New Roman"/>
        </w:rPr>
      </w:pPr>
    </w:p>
    <w:p w14:paraId="156DB591" w14:textId="3459ECD3" w:rsidR="000963D5" w:rsidRPr="002208A3" w:rsidRDefault="000963D5" w:rsidP="000963D5">
      <w:pPr>
        <w:spacing w:line="480" w:lineRule="auto"/>
        <w:jc w:val="center"/>
        <w:rPr>
          <w:rFonts w:ascii="Times New Roman" w:hAnsi="Times New Roman"/>
        </w:rPr>
      </w:pPr>
      <w:r>
        <w:rPr>
          <w:rFonts w:ascii="Times New Roman" w:hAnsi="Times New Roman"/>
        </w:rPr>
        <w:t>P</w:t>
      </w:r>
      <w:r w:rsidRPr="002208A3">
        <w:rPr>
          <w:rFonts w:ascii="Times New Roman" w:hAnsi="Times New Roman"/>
        </w:rPr>
        <w:t xml:space="preserve">recommitment </w:t>
      </w:r>
      <w:r>
        <w:rPr>
          <w:rFonts w:ascii="Times New Roman" w:hAnsi="Times New Roman"/>
        </w:rPr>
        <w:t xml:space="preserve">as a nudge </w:t>
      </w:r>
      <w:bookmarkEnd w:id="0"/>
      <w:r>
        <w:rPr>
          <w:rFonts w:ascii="Times New Roman" w:hAnsi="Times New Roman"/>
        </w:rPr>
        <w:t xml:space="preserve">for safer choices </w:t>
      </w:r>
      <w:r w:rsidRPr="002208A3">
        <w:rPr>
          <w:rFonts w:ascii="Times New Roman" w:hAnsi="Times New Roman"/>
        </w:rPr>
        <w:t xml:space="preserve">in </w:t>
      </w:r>
      <w:r>
        <w:rPr>
          <w:rFonts w:ascii="Times New Roman" w:hAnsi="Times New Roman"/>
        </w:rPr>
        <w:t>repeated decisions about low-probability, high-magnitude losses</w:t>
      </w:r>
    </w:p>
    <w:p w14:paraId="2CDB3419" w14:textId="77777777" w:rsidR="000963D5" w:rsidRPr="002208A3" w:rsidRDefault="000963D5" w:rsidP="000963D5">
      <w:pPr>
        <w:spacing w:line="480" w:lineRule="auto"/>
        <w:rPr>
          <w:rFonts w:ascii="Times New Roman" w:hAnsi="Times New Roman"/>
        </w:rPr>
      </w:pPr>
    </w:p>
    <w:p w14:paraId="706A744D" w14:textId="77777777" w:rsidR="000963D5" w:rsidRPr="002208A3" w:rsidRDefault="000963D5" w:rsidP="000963D5">
      <w:pPr>
        <w:spacing w:line="480" w:lineRule="auto"/>
        <w:rPr>
          <w:rFonts w:ascii="Times New Roman" w:hAnsi="Times New Roman"/>
        </w:rPr>
      </w:pPr>
    </w:p>
    <w:p w14:paraId="3EFCAA47" w14:textId="77777777" w:rsidR="000963D5" w:rsidRPr="00ED64F9" w:rsidRDefault="000963D5" w:rsidP="000963D5">
      <w:pPr>
        <w:spacing w:line="480" w:lineRule="auto"/>
        <w:jc w:val="center"/>
        <w:rPr>
          <w:rFonts w:ascii="Times New Roman" w:hAnsi="Times New Roman"/>
        </w:rPr>
      </w:pPr>
      <w:r w:rsidRPr="002208A3">
        <w:rPr>
          <w:rFonts w:ascii="Times New Roman" w:hAnsi="Times New Roman"/>
        </w:rPr>
        <w:t xml:space="preserve">David J. </w:t>
      </w:r>
      <w:r w:rsidRPr="00D26725">
        <w:rPr>
          <w:rFonts w:ascii="Times New Roman" w:hAnsi="Times New Roman"/>
          <w:noProof/>
        </w:rPr>
        <w:t>Hardisty</w:t>
      </w:r>
      <w:r w:rsidRPr="00D26725">
        <w:rPr>
          <w:rFonts w:ascii="Times New Roman" w:hAnsi="Times New Roman"/>
          <w:noProof/>
          <w:vertAlign w:val="superscript"/>
        </w:rPr>
        <w:t>a</w:t>
      </w:r>
      <w:r w:rsidRPr="002208A3">
        <w:rPr>
          <w:rFonts w:ascii="Times New Roman" w:hAnsi="Times New Roman"/>
        </w:rPr>
        <w:t xml:space="preserve">, </w:t>
      </w:r>
      <w:r>
        <w:rPr>
          <w:rFonts w:ascii="Times New Roman" w:hAnsi="Times New Roman"/>
        </w:rPr>
        <w:t>Amir Sepehri</w:t>
      </w:r>
      <w:r>
        <w:rPr>
          <w:rFonts w:ascii="Times New Roman" w:hAnsi="Times New Roman"/>
          <w:vertAlign w:val="superscript"/>
        </w:rPr>
        <w:t>b</w:t>
      </w:r>
      <w:r>
        <w:rPr>
          <w:rFonts w:ascii="Times New Roman" w:hAnsi="Times New Roman"/>
        </w:rPr>
        <w:t xml:space="preserve">, and </w:t>
      </w:r>
      <w:r w:rsidRPr="002208A3">
        <w:rPr>
          <w:rFonts w:ascii="Times New Roman" w:hAnsi="Times New Roman"/>
        </w:rPr>
        <w:t xml:space="preserve">Poonam </w:t>
      </w:r>
      <w:r w:rsidRPr="00D26725">
        <w:rPr>
          <w:rFonts w:ascii="Times New Roman" w:hAnsi="Times New Roman"/>
          <w:noProof/>
        </w:rPr>
        <w:t>Arora</w:t>
      </w:r>
      <w:r>
        <w:rPr>
          <w:rFonts w:ascii="Times New Roman" w:hAnsi="Times New Roman"/>
          <w:noProof/>
          <w:vertAlign w:val="superscript"/>
        </w:rPr>
        <w:t>c</w:t>
      </w:r>
      <w:r>
        <w:rPr>
          <w:rFonts w:ascii="Times New Roman" w:hAnsi="Times New Roman"/>
        </w:rPr>
        <w:t>,</w:t>
      </w:r>
    </w:p>
    <w:p w14:paraId="7E1D4CD1" w14:textId="77777777" w:rsidR="000963D5" w:rsidRPr="002208A3" w:rsidRDefault="000963D5" w:rsidP="000963D5">
      <w:pPr>
        <w:spacing w:line="480" w:lineRule="auto"/>
        <w:ind w:left="720" w:hanging="720"/>
        <w:rPr>
          <w:rFonts w:ascii="Times New Roman" w:hAnsi="Times New Roman"/>
        </w:rPr>
      </w:pPr>
      <w:proofErr w:type="spellStart"/>
      <w:r w:rsidRPr="002208A3">
        <w:rPr>
          <w:rFonts w:ascii="Times New Roman" w:hAnsi="Times New Roman"/>
          <w:vertAlign w:val="superscript"/>
        </w:rPr>
        <w:t>a</w:t>
      </w:r>
      <w:r w:rsidRPr="002208A3">
        <w:rPr>
          <w:rFonts w:ascii="Times New Roman" w:hAnsi="Times New Roman"/>
        </w:rPr>
        <w:t>University</w:t>
      </w:r>
      <w:proofErr w:type="spellEnd"/>
      <w:r w:rsidRPr="002208A3">
        <w:rPr>
          <w:rFonts w:ascii="Times New Roman" w:hAnsi="Times New Roman"/>
        </w:rPr>
        <w:t xml:space="preserve"> of British Columbia, Sauder School of Business</w:t>
      </w:r>
      <w:r>
        <w:rPr>
          <w:rFonts w:ascii="Times New Roman" w:hAnsi="Times New Roman"/>
        </w:rPr>
        <w:t>, Canada, david.hardisty@sauder.ubc.ca</w:t>
      </w:r>
    </w:p>
    <w:p w14:paraId="4518E4C3" w14:textId="77777777" w:rsidR="000963D5" w:rsidRDefault="000963D5" w:rsidP="000963D5">
      <w:pPr>
        <w:spacing w:line="480" w:lineRule="auto"/>
        <w:ind w:left="720" w:hanging="720"/>
        <w:rPr>
          <w:rFonts w:ascii="Times New Roman" w:hAnsi="Times New Roman"/>
        </w:rPr>
      </w:pPr>
      <w:proofErr w:type="spellStart"/>
      <w:r>
        <w:rPr>
          <w:rFonts w:ascii="Times New Roman" w:hAnsi="Times New Roman"/>
          <w:vertAlign w:val="superscript"/>
        </w:rPr>
        <w:t>b</w:t>
      </w:r>
      <w:r>
        <w:rPr>
          <w:rFonts w:ascii="Times New Roman" w:hAnsi="Times New Roman"/>
        </w:rPr>
        <w:t>Western</w:t>
      </w:r>
      <w:proofErr w:type="spellEnd"/>
      <w:r>
        <w:rPr>
          <w:rFonts w:ascii="Times New Roman" w:hAnsi="Times New Roman"/>
        </w:rPr>
        <w:t xml:space="preserve"> University, Ivey School of Business, Canada, asepehri.phd@ivey.ca</w:t>
      </w:r>
    </w:p>
    <w:p w14:paraId="670CE9F9" w14:textId="77777777" w:rsidR="000963D5" w:rsidRDefault="000963D5" w:rsidP="000963D5">
      <w:pPr>
        <w:spacing w:line="480" w:lineRule="auto"/>
        <w:ind w:left="720" w:hanging="720"/>
        <w:rPr>
          <w:rFonts w:ascii="Times New Roman" w:hAnsi="Times New Roman"/>
        </w:rPr>
      </w:pPr>
      <w:proofErr w:type="spellStart"/>
      <w:r>
        <w:rPr>
          <w:rFonts w:ascii="Times New Roman" w:hAnsi="Times New Roman"/>
          <w:vertAlign w:val="superscript"/>
        </w:rPr>
        <w:t>c</w:t>
      </w:r>
      <w:r w:rsidRPr="002208A3">
        <w:rPr>
          <w:rFonts w:ascii="Times New Roman" w:hAnsi="Times New Roman"/>
        </w:rPr>
        <w:t>Manhattan</w:t>
      </w:r>
      <w:proofErr w:type="spellEnd"/>
      <w:r w:rsidRPr="002208A3">
        <w:rPr>
          <w:rFonts w:ascii="Times New Roman" w:hAnsi="Times New Roman"/>
        </w:rPr>
        <w:t xml:space="preserve"> College, School of Business</w:t>
      </w:r>
      <w:r>
        <w:rPr>
          <w:rFonts w:ascii="Times New Roman" w:hAnsi="Times New Roman"/>
        </w:rPr>
        <w:t xml:space="preserve">, United States, </w:t>
      </w:r>
      <w:r w:rsidRPr="001839C2">
        <w:rPr>
          <w:rFonts w:ascii="Times New Roman" w:hAnsi="Times New Roman"/>
        </w:rPr>
        <w:t>poonam.arora@manhattan.edu</w:t>
      </w:r>
    </w:p>
    <w:p w14:paraId="7578ED31" w14:textId="77777777" w:rsidR="000963D5" w:rsidRDefault="000963D5" w:rsidP="000963D5">
      <w:pPr>
        <w:spacing w:line="480" w:lineRule="auto"/>
        <w:ind w:left="720" w:hanging="720"/>
        <w:rPr>
          <w:rFonts w:ascii="Times New Roman" w:hAnsi="Times New Roman"/>
        </w:rPr>
      </w:pPr>
    </w:p>
    <w:p w14:paraId="3B3054AE" w14:textId="77777777" w:rsidR="000963D5" w:rsidRDefault="000963D5" w:rsidP="000963D5">
      <w:pPr>
        <w:spacing w:line="480" w:lineRule="auto"/>
        <w:rPr>
          <w:rFonts w:ascii="Times New Roman" w:hAnsi="Times New Roman"/>
        </w:rPr>
      </w:pPr>
      <w:r>
        <w:rPr>
          <w:rFonts w:ascii="Times New Roman" w:hAnsi="Times New Roman"/>
        </w:rPr>
        <w:t xml:space="preserve">Author note: </w:t>
      </w:r>
      <w:r w:rsidRPr="00214701">
        <w:rPr>
          <w:rFonts w:ascii="Times New Roman" w:hAnsi="Times New Roman"/>
        </w:rPr>
        <w:t xml:space="preserve">This research was supported NSF grant SES-0820496 and by the Canadian Social Sciences and Humanities Research Council. </w:t>
      </w:r>
      <w:r>
        <w:rPr>
          <w:rFonts w:ascii="Times New Roman" w:hAnsi="Times New Roman"/>
        </w:rPr>
        <w:t xml:space="preserve">Special thanks to Daniel Read for his thoughts on an earlier draft of this paper, and thanks to Kavita </w:t>
      </w:r>
      <w:proofErr w:type="spellStart"/>
      <w:r>
        <w:rPr>
          <w:rFonts w:ascii="Times New Roman" w:hAnsi="Times New Roman"/>
        </w:rPr>
        <w:t>Dau</w:t>
      </w:r>
      <w:proofErr w:type="spellEnd"/>
      <w:r>
        <w:rPr>
          <w:rFonts w:ascii="Times New Roman" w:hAnsi="Times New Roman"/>
        </w:rPr>
        <w:t xml:space="preserve"> and Tiffany Leung for their work and contributions on the project. Please direct correspondence to David J. Hardisty, david.hardisty@sauder.ubc.ca. </w:t>
      </w:r>
    </w:p>
    <w:p w14:paraId="482D75FF" w14:textId="77777777" w:rsidR="000963D5" w:rsidRDefault="000963D5" w:rsidP="000963D5">
      <w:pPr>
        <w:spacing w:line="480" w:lineRule="auto"/>
        <w:jc w:val="center"/>
        <w:rPr>
          <w:rFonts w:ascii="Times New Roman" w:hAnsi="Times New Roman"/>
        </w:rPr>
      </w:pPr>
    </w:p>
    <w:p w14:paraId="131488DD" w14:textId="77777777" w:rsidR="000963D5" w:rsidRDefault="000963D5" w:rsidP="000963D5">
      <w:pPr>
        <w:rPr>
          <w:rFonts w:ascii="Times New Roman" w:hAnsi="Times New Roman"/>
        </w:rPr>
      </w:pPr>
    </w:p>
    <w:p w14:paraId="15D335DE" w14:textId="77777777" w:rsidR="000963D5" w:rsidRDefault="000963D5" w:rsidP="000963D5">
      <w:pPr>
        <w:rPr>
          <w:rFonts w:ascii="Times New Roman" w:hAnsi="Times New Roman"/>
        </w:rPr>
      </w:pPr>
    </w:p>
    <w:p w14:paraId="0D8BE24F" w14:textId="62C6463C" w:rsidR="000963D5" w:rsidRDefault="000963D5">
      <w:pPr>
        <w:rPr>
          <w:rFonts w:ascii="Times New Roman" w:hAnsi="Times New Roman"/>
        </w:rPr>
      </w:pPr>
    </w:p>
    <w:p w14:paraId="4E37DB55" w14:textId="77777777" w:rsidR="000963D5" w:rsidRDefault="000963D5">
      <w:pPr>
        <w:rPr>
          <w:rFonts w:ascii="Times New Roman" w:hAnsi="Times New Roman"/>
        </w:rPr>
      </w:pPr>
      <w:r>
        <w:rPr>
          <w:rFonts w:ascii="Times New Roman" w:hAnsi="Times New Roman"/>
        </w:rPr>
        <w:br w:type="page"/>
      </w:r>
    </w:p>
    <w:p w14:paraId="0C0D2146" w14:textId="77777777" w:rsidR="000963D5" w:rsidRDefault="000963D5" w:rsidP="000963D5">
      <w:pPr>
        <w:spacing w:line="480" w:lineRule="auto"/>
        <w:rPr>
          <w:rFonts w:ascii="Times New Roman" w:hAnsi="Times New Roman"/>
        </w:rPr>
      </w:pPr>
    </w:p>
    <w:p w14:paraId="373EA5B0" w14:textId="77777777" w:rsidR="000963D5" w:rsidRPr="000963D5" w:rsidRDefault="000963D5" w:rsidP="000963D5">
      <w:pPr>
        <w:spacing w:line="480" w:lineRule="auto"/>
        <w:jc w:val="center"/>
        <w:rPr>
          <w:rFonts w:ascii="Times New Roman" w:hAnsi="Times New Roman"/>
          <w:i/>
          <w:iCs/>
        </w:rPr>
      </w:pPr>
      <w:r w:rsidRPr="000963D5">
        <w:rPr>
          <w:rFonts w:ascii="Times New Roman" w:hAnsi="Times New Roman"/>
          <w:i/>
          <w:iCs/>
        </w:rPr>
        <w:t>Abstract</w:t>
      </w:r>
    </w:p>
    <w:p w14:paraId="1F13B120" w14:textId="51C96BF0" w:rsidR="000963D5" w:rsidRDefault="000963D5" w:rsidP="000963D5">
      <w:pPr>
        <w:spacing w:line="480" w:lineRule="auto"/>
        <w:rPr>
          <w:rFonts w:ascii="Times New Roman" w:hAnsi="Times New Roman"/>
        </w:rPr>
      </w:pPr>
      <w:r>
        <w:rPr>
          <w:rFonts w:ascii="Times New Roman" w:hAnsi="Times New Roman"/>
        </w:rPr>
        <w:t>Often, people face repeated decisions about whether to protect against a large loss that has a low probability of occurring, for example whether to invest in long-term insurance, or whether to wear a face mask to protect against coronavirus. The decision-maker may make choices one at a time, or may precommit their choices in advance. In a series of studies with both real and hypothetical consequences, we find that precommitment leads to safer choices. This happens because precommitment (including non-binding precommitment) works as a novel form of choice bracketing, increasing planning and the focus on cumulative outcomes (in addition to single-choice outcomes). Furthermore, we find that precommitment does</w:t>
      </w:r>
      <w:r>
        <w:rPr>
          <w:rFonts w:ascii="Times New Roman" w:hAnsi="Times New Roman"/>
          <w:i/>
          <w:iCs/>
        </w:rPr>
        <w:t xml:space="preserve"> not</w:t>
      </w:r>
      <w:r>
        <w:rPr>
          <w:rFonts w:ascii="Times New Roman" w:hAnsi="Times New Roman"/>
        </w:rPr>
        <w:t xml:space="preserve"> influence cumulative probability perceptions, and thus works independently of broad bracketing of probabilities. Finally, we show that precommitment (but not non-binding precommitment) improves cooperation in interdependent security situations, where one person’s risky decisions “spill over” and impact another person. In other words, precommitment offers a partial solution to stochastic prisoner’s dilemmas.  Taken together, the results suggest that binding and non-binding precommitment should be considered as promising nudges in the toolkit to improve decisions about repeated, low-probability, large-magnitude losses. </w:t>
      </w:r>
    </w:p>
    <w:p w14:paraId="4AD77A4D" w14:textId="77777777" w:rsidR="000963D5" w:rsidRDefault="000963D5">
      <w:pPr>
        <w:rPr>
          <w:rFonts w:ascii="Times New Roman" w:hAnsi="Times New Roman"/>
        </w:rPr>
      </w:pPr>
      <w:r>
        <w:rPr>
          <w:rFonts w:ascii="Times New Roman" w:hAnsi="Times New Roman"/>
        </w:rPr>
        <w:br w:type="page"/>
      </w:r>
    </w:p>
    <w:p w14:paraId="6744D20D" w14:textId="4FE622F2" w:rsidR="006C22C1" w:rsidRPr="002208A3" w:rsidRDefault="006C22C1" w:rsidP="006C22C1">
      <w:pPr>
        <w:spacing w:line="480" w:lineRule="auto"/>
        <w:jc w:val="center"/>
        <w:rPr>
          <w:rFonts w:ascii="Times New Roman" w:hAnsi="Times New Roman"/>
        </w:rPr>
      </w:pPr>
      <w:r>
        <w:rPr>
          <w:rFonts w:ascii="Times New Roman" w:hAnsi="Times New Roman"/>
        </w:rPr>
        <w:lastRenderedPageBreak/>
        <w:t>P</w:t>
      </w:r>
      <w:r w:rsidRPr="002208A3">
        <w:rPr>
          <w:rFonts w:ascii="Times New Roman" w:hAnsi="Times New Roman"/>
        </w:rPr>
        <w:t xml:space="preserve">recommitment </w:t>
      </w:r>
      <w:r>
        <w:rPr>
          <w:rFonts w:ascii="Times New Roman" w:hAnsi="Times New Roman"/>
        </w:rPr>
        <w:t xml:space="preserve">as a nudge for safer choices </w:t>
      </w:r>
      <w:r w:rsidRPr="002208A3">
        <w:rPr>
          <w:rFonts w:ascii="Times New Roman" w:hAnsi="Times New Roman"/>
        </w:rPr>
        <w:t xml:space="preserve">in </w:t>
      </w:r>
      <w:r>
        <w:rPr>
          <w:rFonts w:ascii="Times New Roman" w:hAnsi="Times New Roman"/>
        </w:rPr>
        <w:t>repeated decisions about low-probability, high-magnitude losses</w:t>
      </w:r>
    </w:p>
    <w:p w14:paraId="7FB6E15C" w14:textId="514E1111" w:rsidR="00B348C6" w:rsidRDefault="002B5052" w:rsidP="007E082F">
      <w:pPr>
        <w:spacing w:line="480" w:lineRule="auto"/>
        <w:rPr>
          <w:rFonts w:ascii="Times New Roman" w:hAnsi="Times New Roman"/>
        </w:rPr>
      </w:pPr>
      <w:r>
        <w:rPr>
          <w:rFonts w:ascii="Times New Roman" w:hAnsi="Times New Roman"/>
        </w:rPr>
        <w:tab/>
        <w:t xml:space="preserve">People repeatedly face decisions about whether to </w:t>
      </w:r>
      <w:r w:rsidR="00864B02">
        <w:rPr>
          <w:rFonts w:ascii="Times New Roman" w:hAnsi="Times New Roman"/>
        </w:rPr>
        <w:t>protect</w:t>
      </w:r>
      <w:r>
        <w:rPr>
          <w:rFonts w:ascii="Times New Roman" w:hAnsi="Times New Roman"/>
        </w:rPr>
        <w:t xml:space="preserve"> against </w:t>
      </w:r>
      <w:r w:rsidR="007E082F">
        <w:rPr>
          <w:rFonts w:ascii="Times New Roman" w:hAnsi="Times New Roman"/>
        </w:rPr>
        <w:t xml:space="preserve">low-probability, high magnitude losses. For example, </w:t>
      </w:r>
      <w:r w:rsidR="00864B02">
        <w:rPr>
          <w:rFonts w:ascii="Times New Roman" w:hAnsi="Times New Roman"/>
        </w:rPr>
        <w:t xml:space="preserve">during the COVID-19 pandemic, people must repeatedly decide whether to maintain social distancing, wear a mask, and wash their hands. These actions require small, certain costs in time and comfort, and protect against the low probability, but highly negative impact of catching the disease. Other examples include decisions about whether to pay for insurance to protect against unlikely events, and decisions about whether to pay for a backup service to protect against computer data being lost. </w:t>
      </w:r>
      <w:r w:rsidR="000D155D">
        <w:rPr>
          <w:rFonts w:ascii="Times New Roman" w:hAnsi="Times New Roman"/>
        </w:rPr>
        <w:t xml:space="preserve">People may make these decisions one at a time, or may precommit many decisions in advance. For example, a data backup service may be paid monthly or </w:t>
      </w:r>
      <w:r w:rsidR="00F56234">
        <w:rPr>
          <w:rFonts w:ascii="Times New Roman" w:hAnsi="Times New Roman"/>
        </w:rPr>
        <w:t>annually. Some long-term flood insurance contracts run up to 10 years</w:t>
      </w:r>
      <w:r w:rsidR="002716FE">
        <w:rPr>
          <w:rFonts w:ascii="Times New Roman" w:hAnsi="Times New Roman"/>
        </w:rPr>
        <w:t xml:space="preserve"> or more </w:t>
      </w:r>
      <w:r w:rsidR="002716FE">
        <w:rPr>
          <w:rFonts w:ascii="Times New Roman" w:hAnsi="Times New Roman"/>
        </w:rPr>
        <w:fldChar w:fldCharType="begin"/>
      </w:r>
      <w:r w:rsidR="002716FE">
        <w:rPr>
          <w:rFonts w:ascii="Times New Roman" w:hAnsi="Times New Roman"/>
        </w:rPr>
        <w:instrText xml:space="preserve"> ADDIN EN.CITE &lt;EndNote&gt;&lt;Cite&gt;&lt;Author&gt;Aerts&lt;/Author&gt;&lt;Year&gt;2011&lt;/Year&gt;&lt;IDText&gt;Climate change impacts on pricing long-term flood insurance: A comprehensive study for the Netherlands&lt;/IDText&gt;&lt;DisplayText&gt;(Aerts &amp;amp; Botzen, 2011)&lt;/DisplayText&gt;&lt;record&gt;&lt;isbn&gt;0959-3780&lt;/isbn&gt;&lt;titles&gt;&lt;title&gt;Climate change impacts on pricing long-term flood insurance: A comprehensive study for the Netherlands&lt;/title&gt;&lt;secondary-title&gt;Global Environmental Change&lt;/secondary-title&gt;&lt;/titles&gt;&lt;pages&gt;1045-1060&lt;/pages&gt;&lt;number&gt;3&lt;/number&gt;&lt;contributors&gt;&lt;authors&gt;&lt;author&gt;Aerts, Jeroen CJH&lt;/author&gt;&lt;author&gt;Botzen, WJ Wouter&lt;/author&gt;&lt;/authors&gt;&lt;/contributors&gt;&lt;added-date format="utc"&gt;1597532592&lt;/added-date&gt;&lt;ref-type name="Journal Article"&gt;17&lt;/ref-type&gt;&lt;dates&gt;&lt;year&gt;2011&lt;/year&gt;&lt;/dates&gt;&lt;rec-number&gt;653&lt;/rec-number&gt;&lt;last-updated-date format="utc"&gt;1597532592&lt;/last-updated-date&gt;&lt;volume&gt;21&lt;/volume&gt;&lt;/record&gt;&lt;/Cite&gt;&lt;/EndNote&gt;</w:instrText>
      </w:r>
      <w:r w:rsidR="002716FE">
        <w:rPr>
          <w:rFonts w:ascii="Times New Roman" w:hAnsi="Times New Roman"/>
        </w:rPr>
        <w:fldChar w:fldCharType="separate"/>
      </w:r>
      <w:r w:rsidR="002716FE">
        <w:rPr>
          <w:rFonts w:ascii="Times New Roman" w:hAnsi="Times New Roman"/>
          <w:noProof/>
        </w:rPr>
        <w:t>(Aerts &amp; Botzen, 2011)</w:t>
      </w:r>
      <w:r w:rsidR="002716FE">
        <w:rPr>
          <w:rFonts w:ascii="Times New Roman" w:hAnsi="Times New Roman"/>
        </w:rPr>
        <w:fldChar w:fldCharType="end"/>
      </w:r>
      <w:r w:rsidR="00F56234">
        <w:rPr>
          <w:rFonts w:ascii="Times New Roman" w:hAnsi="Times New Roman"/>
        </w:rPr>
        <w:t xml:space="preserve">. These are examples of </w:t>
      </w:r>
      <w:r w:rsidR="00AE6A21">
        <w:rPr>
          <w:rFonts w:ascii="Times New Roman" w:hAnsi="Times New Roman"/>
        </w:rPr>
        <w:t xml:space="preserve">“binding” precommitments. In other cases, precommitments may be entirely psychological and non-binding. For example, a person may decide in advance whether to always (or never) wear a mask when going out to stores during the pandemic. How does this precommitment process influence their decision making and safety behavior? </w:t>
      </w:r>
    </w:p>
    <w:p w14:paraId="00C178B7" w14:textId="6A4B4876" w:rsidR="00AE6A21" w:rsidRDefault="00AE6A21" w:rsidP="007E082F">
      <w:pPr>
        <w:spacing w:line="480" w:lineRule="auto"/>
        <w:rPr>
          <w:rFonts w:ascii="Times New Roman" w:hAnsi="Times New Roman"/>
        </w:rPr>
      </w:pPr>
      <w:r>
        <w:rPr>
          <w:rFonts w:ascii="Times New Roman" w:hAnsi="Times New Roman"/>
        </w:rPr>
        <w:tab/>
        <w:t xml:space="preserve"> </w:t>
      </w:r>
      <w:r w:rsidR="00954503">
        <w:rPr>
          <w:rFonts w:ascii="Times New Roman" w:hAnsi="Times New Roman"/>
        </w:rPr>
        <w:t>In this paper, we present evidence that precommitment leads to safer choices about low-probability</w:t>
      </w:r>
      <w:r w:rsidR="00FD025C">
        <w:rPr>
          <w:rFonts w:ascii="Times New Roman" w:hAnsi="Times New Roman"/>
        </w:rPr>
        <w:t xml:space="preserve"> (e.g., 4% chance)</w:t>
      </w:r>
      <w:r w:rsidR="00954503">
        <w:rPr>
          <w:rFonts w:ascii="Times New Roman" w:hAnsi="Times New Roman"/>
        </w:rPr>
        <w:t xml:space="preserve">, large magnitude losses. As such, </w:t>
      </w:r>
      <w:r w:rsidR="005C512B">
        <w:rPr>
          <w:rFonts w:ascii="Times New Roman" w:hAnsi="Times New Roman"/>
        </w:rPr>
        <w:t xml:space="preserve">organizational leaders, policy-makers, and other decision architects should consider </w:t>
      </w:r>
      <w:r w:rsidR="00954503">
        <w:rPr>
          <w:rFonts w:ascii="Times New Roman" w:hAnsi="Times New Roman"/>
        </w:rPr>
        <w:t>precommitment</w:t>
      </w:r>
      <w:r w:rsidR="005C512B">
        <w:rPr>
          <w:rFonts w:ascii="Times New Roman" w:hAnsi="Times New Roman"/>
        </w:rPr>
        <w:t xml:space="preserve"> of choices</w:t>
      </w:r>
      <w:r w:rsidR="00954503">
        <w:rPr>
          <w:rFonts w:ascii="Times New Roman" w:hAnsi="Times New Roman"/>
        </w:rPr>
        <w:t xml:space="preserve"> as a tool in the “nudge” toolkit</w:t>
      </w:r>
      <w:r w:rsidR="005C512B">
        <w:rPr>
          <w:rFonts w:ascii="Times New Roman" w:hAnsi="Times New Roman"/>
        </w:rPr>
        <w:t xml:space="preserve"> </w:t>
      </w:r>
      <w:r w:rsidR="005C512B">
        <w:rPr>
          <w:rFonts w:ascii="Times New Roman" w:hAnsi="Times New Roman"/>
        </w:rPr>
        <w:fldChar w:fldCharType="begin"/>
      </w:r>
      <w:r w:rsidR="005C512B">
        <w:rPr>
          <w:rFonts w:ascii="Times New Roman" w:hAnsi="Times New Roman"/>
        </w:rPr>
        <w:instrText xml:space="preserve"> ADDIN EN.CITE &lt;EndNote&gt;&lt;Cite&gt;&lt;Author&gt;Thaler&lt;/Author&gt;&lt;Year&gt;2008&lt;/Year&gt;&lt;IDText&gt;Nudge: improving decisions about health, wealth, and happiness&lt;/IDText&gt;&lt;DisplayText&gt;(Thaler &amp;amp; Sunstein, 2008)&lt;/DisplayText&gt;&lt;record&gt;&lt;titles&gt;&lt;title&gt;Nudge: improving decisions about health, wealth, and happiness&lt;/title&gt;&lt;short-title&gt;Nudge: improving decisions about health, wealth, and happiness&lt;/short-title&gt;&lt;/titles&gt;&lt;contributors&gt;&lt;authors&gt;&lt;author&gt;Thaler, Richard&lt;/author&gt;&lt;author&gt;Sunstein, Cass R.&lt;/author&gt;&lt;/authors&gt;&lt;/contributors&gt;&lt;added-date format="utc"&gt;1531537192&lt;/added-date&gt;&lt;ref-type name="Book"&gt;6&lt;/ref-type&gt;&lt;dates&gt;&lt;year&gt;2008&lt;/year&gt;&lt;/dates&gt;&lt;rec-number&gt;479&lt;/rec-number&gt;&lt;publisher&gt;Yale University Press&lt;/publisher&gt;&lt;last-updated-date format="utc"&gt;1531537192&lt;/last-updated-date&gt;&lt;/record&gt;&lt;/Cite&gt;&lt;/EndNote&gt;</w:instrText>
      </w:r>
      <w:r w:rsidR="005C512B">
        <w:rPr>
          <w:rFonts w:ascii="Times New Roman" w:hAnsi="Times New Roman"/>
        </w:rPr>
        <w:fldChar w:fldCharType="separate"/>
      </w:r>
      <w:r w:rsidR="005C512B">
        <w:rPr>
          <w:rFonts w:ascii="Times New Roman" w:hAnsi="Times New Roman"/>
          <w:noProof/>
        </w:rPr>
        <w:t>(Thaler &amp; Sunstein, 2008)</w:t>
      </w:r>
      <w:r w:rsidR="005C512B">
        <w:rPr>
          <w:rFonts w:ascii="Times New Roman" w:hAnsi="Times New Roman"/>
        </w:rPr>
        <w:fldChar w:fldCharType="end"/>
      </w:r>
      <w:r w:rsidR="00954503">
        <w:rPr>
          <w:rFonts w:ascii="Times New Roman" w:hAnsi="Times New Roman"/>
        </w:rPr>
        <w:t xml:space="preserve"> to increase safe</w:t>
      </w:r>
      <w:r w:rsidR="00EC6ADC">
        <w:rPr>
          <w:rFonts w:ascii="Times New Roman" w:hAnsi="Times New Roman"/>
        </w:rPr>
        <w:t>ty</w:t>
      </w:r>
      <w:r w:rsidR="00954503">
        <w:rPr>
          <w:rFonts w:ascii="Times New Roman" w:hAnsi="Times New Roman"/>
        </w:rPr>
        <w:t xml:space="preserve"> behavior in a non-coercive way. </w:t>
      </w:r>
      <w:r w:rsidR="003E35BF">
        <w:rPr>
          <w:rFonts w:ascii="Times New Roman" w:hAnsi="Times New Roman"/>
        </w:rPr>
        <w:t xml:space="preserve">We find that the psychological process behind this effect is driven by an increased focus on planning and cumulative outcomes, and </w:t>
      </w:r>
      <w:r w:rsidR="003E35BF" w:rsidRPr="003E35BF">
        <w:rPr>
          <w:rFonts w:ascii="Times New Roman" w:hAnsi="Times New Roman"/>
          <w:i/>
          <w:iCs/>
        </w:rPr>
        <w:t>not</w:t>
      </w:r>
      <w:r w:rsidR="003E35BF">
        <w:rPr>
          <w:rFonts w:ascii="Times New Roman" w:hAnsi="Times New Roman"/>
        </w:rPr>
        <w:t xml:space="preserve"> by a </w:t>
      </w:r>
      <w:r w:rsidR="003E35BF">
        <w:rPr>
          <w:rFonts w:ascii="Times New Roman" w:hAnsi="Times New Roman"/>
        </w:rPr>
        <w:lastRenderedPageBreak/>
        <w:t xml:space="preserve">change in probability perceptions. Thus, we contribute to research on choice bracketing </w:t>
      </w:r>
      <w:r w:rsidR="003E35BF">
        <w:rPr>
          <w:rFonts w:ascii="Times New Roman" w:hAnsi="Times New Roman"/>
        </w:rPr>
        <w:fldChar w:fldCharType="begin"/>
      </w:r>
      <w:r w:rsidR="003E35BF">
        <w:rPr>
          <w:rFonts w:ascii="Times New Roman" w:hAnsi="Times New Roman"/>
        </w:rPr>
        <w:instrText xml:space="preserve"> ADDIN EN.CITE &lt;EndNote&gt;&lt;Cite&gt;&lt;Author&gt;Read&lt;/Author&gt;&lt;Year&gt;1999&lt;/Year&gt;&lt;IDText&gt;Choice Bracketing&lt;/IDText&gt;&lt;DisplayText&gt;(Read, Loewenstein, &amp;amp; Rabin, 1999)&lt;/DisplayText&gt;&lt;record&gt;&lt;titles&gt;&lt;title&gt;Choice Bracketing&lt;/title&gt;&lt;secondary-title&gt;Journal of Risk and Uncertainty&lt;/secondary-title&gt;&lt;short-title&gt;Choice Bracketing&lt;/short-title&gt;&lt;/titles&gt;&lt;pages&gt;171-197&lt;/pages&gt;&lt;contributors&gt;&lt;authors&gt;&lt;author&gt;Read, Daniel&lt;/author&gt;&lt;author&gt;Loewenstein, George&lt;/author&gt;&lt;author&gt;Rabin, M.&lt;/author&gt;&lt;/authors&gt;&lt;/contributors&gt;&lt;added-date format="utc"&gt;1531537191&lt;/added-date&gt;&lt;ref-type name="Journal Article"&gt;17&lt;/ref-type&gt;&lt;dates&gt;&lt;year&gt;1999&lt;/year&gt;&lt;/dates&gt;&lt;rec-number&gt;422&lt;/rec-number&gt;&lt;last-updated-date format="utc"&gt;1531537191&lt;/last-updated-date&gt;&lt;volume&gt;19&lt;/volume&gt;&lt;/record&gt;&lt;/Cite&gt;&lt;/EndNote&gt;</w:instrText>
      </w:r>
      <w:r w:rsidR="003E35BF">
        <w:rPr>
          <w:rFonts w:ascii="Times New Roman" w:hAnsi="Times New Roman"/>
        </w:rPr>
        <w:fldChar w:fldCharType="separate"/>
      </w:r>
      <w:r w:rsidR="003E35BF">
        <w:rPr>
          <w:rFonts w:ascii="Times New Roman" w:hAnsi="Times New Roman"/>
          <w:noProof/>
        </w:rPr>
        <w:t>(Read, Loewenstein, &amp; Rabin, 1999)</w:t>
      </w:r>
      <w:r w:rsidR="003E35BF">
        <w:rPr>
          <w:rFonts w:ascii="Times New Roman" w:hAnsi="Times New Roman"/>
        </w:rPr>
        <w:fldChar w:fldCharType="end"/>
      </w:r>
      <w:r w:rsidR="003E35BF">
        <w:rPr>
          <w:rFonts w:ascii="Times New Roman" w:hAnsi="Times New Roman"/>
        </w:rPr>
        <w:t xml:space="preserve">, by distinguishing two distinct choice bracketing effects and processes. </w:t>
      </w:r>
      <w:r w:rsidR="00D21189">
        <w:rPr>
          <w:rFonts w:ascii="Times New Roman" w:hAnsi="Times New Roman"/>
        </w:rPr>
        <w:t xml:space="preserve">Finally, we test binding and non-binding precommitment in the context of an “interdependent security” social dilemma </w:t>
      </w:r>
      <w:r w:rsidR="00D21189">
        <w:rPr>
          <w:rFonts w:ascii="Times New Roman" w:hAnsi="Times New Roman"/>
        </w:rPr>
        <w:fldChar w:fldCharType="begin"/>
      </w:r>
      <w:r w:rsidR="00D21189">
        <w:rPr>
          <w:rFonts w:ascii="Times New Roman" w:hAnsi="Times New Roman"/>
        </w:rPr>
        <w:instrText xml:space="preserve"> ADDIN EN.CITE &lt;EndNote&gt;&lt;Cite&gt;&lt;Author&gt;Heal&lt;/Author&gt;&lt;Year&gt;2005&lt;/Year&gt;&lt;IDText&gt;IDS Models of Airline Security&lt;/IDText&gt;&lt;DisplayText&gt;(Heal &amp;amp; Kunreuther, 2005)&lt;/DisplayText&gt;&lt;record&gt;&lt;titles&gt;&lt;title&gt;IDS Models of Airline Security&lt;/title&gt;&lt;secondary-title&gt;Journal of Conflict Resolution&lt;/secondary-title&gt;&lt;short-title&gt;IDS Models of Airline Security&lt;/short-title&gt;&lt;/titles&gt;&lt;pages&gt;201-217&lt;/pages&gt;&lt;number&gt;2&lt;/number&gt;&lt;contributors&gt;&lt;authors&gt;&lt;author&gt;Heal, Geoffrey&lt;/author&gt;&lt;author&gt;Kunreuther, Howard C.&lt;/author&gt;&lt;/authors&gt;&lt;/contributors&gt;&lt;added-date format="utc"&gt;1531537190&lt;/added-date&gt;&lt;ref-type name="Journal Article"&gt;17&lt;/ref-type&gt;&lt;dates&gt;&lt;year&gt;2005&lt;/year&gt;&lt;/dates&gt;&lt;rec-number&gt;239&lt;/rec-number&gt;&lt;last-updated-date format="utc"&gt;1531537190&lt;/last-updated-date&gt;&lt;electronic-resource-num&gt;10.1177/0022002704272833&lt;/electronic-resource-num&gt;&lt;volume&gt;49&lt;/volume&gt;&lt;/record&gt;&lt;/Cite&gt;&lt;/EndNote&gt;</w:instrText>
      </w:r>
      <w:r w:rsidR="00D21189">
        <w:rPr>
          <w:rFonts w:ascii="Times New Roman" w:hAnsi="Times New Roman"/>
        </w:rPr>
        <w:fldChar w:fldCharType="separate"/>
      </w:r>
      <w:r w:rsidR="00D21189">
        <w:rPr>
          <w:rFonts w:ascii="Times New Roman" w:hAnsi="Times New Roman"/>
          <w:noProof/>
        </w:rPr>
        <w:t>(Heal &amp; Kunreuther, 2005)</w:t>
      </w:r>
      <w:r w:rsidR="00D21189">
        <w:rPr>
          <w:rFonts w:ascii="Times New Roman" w:hAnsi="Times New Roman"/>
        </w:rPr>
        <w:fldChar w:fldCharType="end"/>
      </w:r>
      <w:r w:rsidR="00D21189">
        <w:rPr>
          <w:rFonts w:ascii="Times New Roman" w:hAnsi="Times New Roman"/>
        </w:rPr>
        <w:t xml:space="preserve">, where the safety decisions </w:t>
      </w:r>
      <w:r w:rsidR="00B64B16">
        <w:rPr>
          <w:rFonts w:ascii="Times New Roman" w:hAnsi="Times New Roman"/>
        </w:rPr>
        <w:t xml:space="preserve">and risks </w:t>
      </w:r>
      <w:r w:rsidR="00D21189">
        <w:rPr>
          <w:rFonts w:ascii="Times New Roman" w:hAnsi="Times New Roman"/>
        </w:rPr>
        <w:t xml:space="preserve">of each person “spill over” and influence the safety </w:t>
      </w:r>
      <w:r w:rsidR="003F0F91">
        <w:rPr>
          <w:rFonts w:ascii="Times New Roman" w:hAnsi="Times New Roman"/>
        </w:rPr>
        <w:t xml:space="preserve">and risk profile </w:t>
      </w:r>
      <w:r w:rsidR="00D21189">
        <w:rPr>
          <w:rFonts w:ascii="Times New Roman" w:hAnsi="Times New Roman"/>
        </w:rPr>
        <w:t xml:space="preserve">of their counterpart. </w:t>
      </w:r>
    </w:p>
    <w:p w14:paraId="2097E253" w14:textId="168B4367" w:rsidR="00B22580" w:rsidRDefault="00B22580" w:rsidP="0027787E">
      <w:pPr>
        <w:spacing w:line="480" w:lineRule="auto"/>
        <w:rPr>
          <w:rFonts w:ascii="Times New Roman" w:hAnsi="Times New Roman"/>
        </w:rPr>
      </w:pPr>
      <w:r>
        <w:rPr>
          <w:rFonts w:ascii="Times New Roman" w:hAnsi="Times New Roman"/>
        </w:rPr>
        <w:tab/>
        <w:t xml:space="preserve">In the following sections, we review the relevant research on </w:t>
      </w:r>
      <w:r w:rsidR="0027787E">
        <w:rPr>
          <w:rFonts w:ascii="Times New Roman" w:hAnsi="Times New Roman"/>
        </w:rPr>
        <w:t xml:space="preserve">decision making under uncertainty, </w:t>
      </w:r>
      <w:r>
        <w:rPr>
          <w:rFonts w:ascii="Times New Roman" w:hAnsi="Times New Roman"/>
        </w:rPr>
        <w:t>choice bracketing, and social dilemmas</w:t>
      </w:r>
      <w:r w:rsidR="001B6981">
        <w:rPr>
          <w:rFonts w:ascii="Times New Roman" w:hAnsi="Times New Roman"/>
        </w:rPr>
        <w:t xml:space="preserve"> under uncertainty</w:t>
      </w:r>
      <w:r>
        <w:rPr>
          <w:rFonts w:ascii="Times New Roman" w:hAnsi="Times New Roman"/>
        </w:rPr>
        <w:t>. We then</w:t>
      </w:r>
      <w:r w:rsidR="00010F3D">
        <w:rPr>
          <w:rFonts w:ascii="Times New Roman" w:hAnsi="Times New Roman"/>
        </w:rPr>
        <w:t xml:space="preserve"> introduce our theoretic framework, detail our hypotheses, and give</w:t>
      </w:r>
      <w:r w:rsidR="0027787E">
        <w:rPr>
          <w:rFonts w:ascii="Times New Roman" w:hAnsi="Times New Roman"/>
        </w:rPr>
        <w:t xml:space="preserve"> an overview of the studies. </w:t>
      </w:r>
    </w:p>
    <w:p w14:paraId="67CE190C" w14:textId="3088EFEC" w:rsidR="007E082F" w:rsidRPr="00B256F0" w:rsidRDefault="00B256F0" w:rsidP="0027787E">
      <w:pPr>
        <w:spacing w:line="480" w:lineRule="auto"/>
        <w:rPr>
          <w:rFonts w:ascii="Times New Roman" w:hAnsi="Times New Roman"/>
          <w:i/>
          <w:iCs/>
        </w:rPr>
      </w:pPr>
      <w:r w:rsidRPr="00B256F0">
        <w:rPr>
          <w:rFonts w:ascii="Times New Roman" w:hAnsi="Times New Roman"/>
          <w:i/>
          <w:iCs/>
        </w:rPr>
        <w:t>Literature review</w:t>
      </w:r>
    </w:p>
    <w:p w14:paraId="38E77C0C" w14:textId="781665CF" w:rsidR="0027787E" w:rsidRPr="0027787E" w:rsidRDefault="0027787E" w:rsidP="00B256F0">
      <w:pPr>
        <w:spacing w:line="480" w:lineRule="auto"/>
        <w:ind w:firstLine="720"/>
        <w:rPr>
          <w:rFonts w:ascii="Times New Roman" w:hAnsi="Times New Roman"/>
          <w:i/>
          <w:iCs/>
        </w:rPr>
      </w:pPr>
      <w:r w:rsidRPr="0027787E">
        <w:rPr>
          <w:rFonts w:ascii="Times New Roman" w:hAnsi="Times New Roman"/>
          <w:i/>
          <w:iCs/>
        </w:rPr>
        <w:t>Decision making under uncertainty</w:t>
      </w:r>
    </w:p>
    <w:p w14:paraId="698CF34C" w14:textId="08DB15DF" w:rsidR="00872FB4" w:rsidRDefault="0027787E" w:rsidP="0027787E">
      <w:pPr>
        <w:spacing w:line="480" w:lineRule="auto"/>
        <w:rPr>
          <w:rFonts w:ascii="Times New Roman" w:hAnsi="Times New Roman"/>
        </w:rPr>
      </w:pPr>
      <w:r>
        <w:rPr>
          <w:rFonts w:ascii="Times New Roman" w:hAnsi="Times New Roman"/>
        </w:rPr>
        <w:tab/>
      </w:r>
      <w:r w:rsidR="00872FB4">
        <w:rPr>
          <w:rFonts w:ascii="Times New Roman" w:hAnsi="Times New Roman"/>
        </w:rPr>
        <w:t>The literature on decision-making uncertainty is vast</w:t>
      </w:r>
      <w:r w:rsidR="00E80FD3">
        <w:rPr>
          <w:rFonts w:ascii="Times New Roman" w:hAnsi="Times New Roman"/>
        </w:rPr>
        <w:t xml:space="preserve"> </w:t>
      </w:r>
      <w:r w:rsidR="00E80FD3">
        <w:rPr>
          <w:rFonts w:ascii="Times New Roman" w:hAnsi="Times New Roman"/>
        </w:rPr>
        <w:fldChar w:fldCharType="begin"/>
      </w:r>
      <w:r w:rsidR="00E80FD3">
        <w:rPr>
          <w:rFonts w:ascii="Times New Roman" w:hAnsi="Times New Roman"/>
        </w:rPr>
        <w:instrText xml:space="preserve"> ADDIN EN.CITE &lt;EndNote&gt;&lt;Cite&gt;&lt;Author&gt;Lipshitz&lt;/Author&gt;&lt;Year&gt;1997&lt;/Year&gt;&lt;IDText&gt;Coping with uncertainty: A naturalistic decision-making analysis&lt;/IDText&gt;&lt;Prefix&gt;for a review`, see &lt;/Prefix&gt;&lt;DisplayText&gt;(for a review, see Lipshitz &amp;amp; Strauss, 1997)&lt;/DisplayText&gt;&lt;record&gt;&lt;isbn&gt;0749-5978&lt;/isbn&gt;&lt;titles&gt;&lt;title&gt;Coping with uncertainty: A naturalistic decision-making analysis&lt;/title&gt;&lt;secondary-title&gt;Organizational behavior and human decision processes&lt;/secondary-title&gt;&lt;/titles&gt;&lt;pages&gt;149-163&lt;/pages&gt;&lt;number&gt;2&lt;/number&gt;&lt;contributors&gt;&lt;authors&gt;&lt;author&gt;Lipshitz, Raanan&lt;/author&gt;&lt;author&gt;Strauss, Orna&lt;/author&gt;&lt;/authors&gt;&lt;/contributors&gt;&lt;added-date format="utc"&gt;1597537762&lt;/added-date&gt;&lt;ref-type name="Journal Article"&gt;17&lt;/ref-type&gt;&lt;dates&gt;&lt;year&gt;1997&lt;/year&gt;&lt;/dates&gt;&lt;rec-number&gt;654&lt;/rec-number&gt;&lt;last-updated-date format="utc"&gt;1597537762&lt;/last-updated-date&gt;&lt;volume&gt;69&lt;/volume&gt;&lt;/record&gt;&lt;/Cite&gt;&lt;/EndNote&gt;</w:instrText>
      </w:r>
      <w:r w:rsidR="00E80FD3">
        <w:rPr>
          <w:rFonts w:ascii="Times New Roman" w:hAnsi="Times New Roman"/>
        </w:rPr>
        <w:fldChar w:fldCharType="separate"/>
      </w:r>
      <w:r w:rsidR="00E80FD3">
        <w:rPr>
          <w:rFonts w:ascii="Times New Roman" w:hAnsi="Times New Roman"/>
          <w:noProof/>
        </w:rPr>
        <w:t>(for a review, see Lipshitz &amp; Strauss, 1997)</w:t>
      </w:r>
      <w:r w:rsidR="00E80FD3">
        <w:rPr>
          <w:rFonts w:ascii="Times New Roman" w:hAnsi="Times New Roman"/>
        </w:rPr>
        <w:fldChar w:fldCharType="end"/>
      </w:r>
      <w:r w:rsidR="00872FB4">
        <w:rPr>
          <w:rFonts w:ascii="Times New Roman" w:hAnsi="Times New Roman"/>
        </w:rPr>
        <w:t xml:space="preserve">; here, we briefly summarize a few key findings that are relevant to current investigation. </w:t>
      </w:r>
    </w:p>
    <w:p w14:paraId="33E42560" w14:textId="1CC41C64" w:rsidR="0027787E" w:rsidRDefault="0027787E" w:rsidP="002C2177">
      <w:pPr>
        <w:spacing w:line="480" w:lineRule="auto"/>
        <w:ind w:firstLine="720"/>
        <w:rPr>
          <w:rFonts w:ascii="Times New Roman" w:hAnsi="Times New Roman"/>
        </w:rPr>
      </w:pPr>
      <w:r>
        <w:rPr>
          <w:rFonts w:ascii="Times New Roman" w:hAnsi="Times New Roman"/>
        </w:rPr>
        <w:t xml:space="preserve">Perhaps the most well-established theory of decision making under uncertainty is Prospect Theory </w:t>
      </w:r>
      <w:r>
        <w:rPr>
          <w:rFonts w:ascii="Times New Roman" w:hAnsi="Times New Roman"/>
        </w:rPr>
        <w:fldChar w:fldCharType="begin"/>
      </w:r>
      <w:r>
        <w:rPr>
          <w:rFonts w:ascii="Times New Roman" w:hAnsi="Times New Roman"/>
        </w:rPr>
        <w:instrText xml:space="preserve"> ADDIN EN.CITE &lt;EndNote&gt;&lt;Cite&gt;&lt;Author&gt;Kahneman&lt;/Author&gt;&lt;Year&gt;1979&lt;/Year&gt;&lt;IDText&gt;Prospect Theory: An Analysis of Decision Under Risk&lt;/IDText&gt;&lt;DisplayText&gt;(Kahneman &amp;amp; Tversky, 1979)&lt;/DisplayText&gt;&lt;record&gt;&lt;dates&gt;&lt;pub-dates&gt;&lt;date&gt;1979&lt;/date&gt;&lt;/pub-dates&gt;&lt;year&gt;1979&lt;/year&gt;&lt;/dates&gt;&lt;titles&gt;&lt;title&gt;Prospect Theory: An Analysis of Decision Under Risk&lt;/title&gt;&lt;/titles&gt;&lt;titles&gt;&lt;secondary-title&gt;&lt;style face="italic" font="default" size="100%"&gt;Econometrica&lt;/style&gt;&lt;/secondary-title&gt;&lt;/titles&gt;&lt;pages&gt;263-292&lt;/pages&gt;&lt;number&gt;2&lt;/number&gt;&lt;contributors&gt;&lt;authors&gt;&lt;author&gt;Kahneman, Daniel&lt;/author&gt;&lt;author&gt;Tversky, Amos&lt;/author&gt;&lt;/authors&gt;&lt;/contributors&gt;&lt;added-date format="utc"&gt;1523499000&lt;/added-date&gt;&lt;ref-type name="Journal Article"&gt;17&lt;/ref-type&gt;&lt;rec-number&gt;14&lt;/rec-number&gt;&lt;last-updated-date format="utc"&gt;1523512436&lt;/last-updated-date&gt;&lt;volume&gt;47&lt;/volume&gt;&lt;/record&gt;&lt;/Cite&gt;&lt;/EndNote&gt;</w:instrText>
      </w:r>
      <w:r>
        <w:rPr>
          <w:rFonts w:ascii="Times New Roman" w:hAnsi="Times New Roman"/>
        </w:rPr>
        <w:fldChar w:fldCharType="separate"/>
      </w:r>
      <w:r>
        <w:rPr>
          <w:rFonts w:ascii="Times New Roman" w:hAnsi="Times New Roman"/>
          <w:noProof/>
        </w:rPr>
        <w:t>(Kahneman &amp; Tversky, 1979)</w:t>
      </w:r>
      <w:r>
        <w:rPr>
          <w:rFonts w:ascii="Times New Roman" w:hAnsi="Times New Roman"/>
        </w:rPr>
        <w:fldChar w:fldCharType="end"/>
      </w:r>
      <w:r>
        <w:rPr>
          <w:rFonts w:ascii="Times New Roman" w:hAnsi="Times New Roman"/>
        </w:rPr>
        <w:t xml:space="preserve">, and its further development in Cumulative Prospect Theory </w:t>
      </w:r>
      <w:r>
        <w:rPr>
          <w:rFonts w:ascii="Times New Roman" w:hAnsi="Times New Roman"/>
        </w:rPr>
        <w:fldChar w:fldCharType="begin"/>
      </w:r>
      <w:r>
        <w:rPr>
          <w:rFonts w:ascii="Times New Roman" w:hAnsi="Times New Roman"/>
        </w:rPr>
        <w:instrText xml:space="preserve"> ADDIN EN.CITE &lt;EndNote&gt;&lt;Cite&gt;&lt;Author&gt;Tversky&lt;/Author&gt;&lt;Year&gt;1992&lt;/Year&gt;&lt;IDText&gt;ADVANCES IN PROSPECT-THEORY - CUMULATIVE REPRESENTATION OF UNCERTAINTY&lt;/IDText&gt;&lt;DisplayText&gt;(Tversky &amp;amp; Kahneman, 1992)&lt;/DisplayText&gt;&lt;record&gt;&lt;titles&gt;&lt;title&gt;ADVANCES IN PROSPECT-THEORY - CUMULATIVE REPRESENTATION OF UNCERTAINTY&lt;/title&gt;&lt;secondary-title&gt;Journal of Risk &amp;amp; Uncertainty&lt;/secondary-title&gt;&lt;short-title&gt;ADVANCES IN PROSPECT-THEORY - CUMULATIVE REPRESENTATION OF UNCERTAINTY&lt;/short-title&gt;&lt;/titles&gt;&lt;pages&gt;297-323&lt;/pages&gt;&lt;contributors&gt;&lt;authors&gt;&lt;author&gt;Tversky, Amos&lt;/author&gt;&lt;author&gt;Kahneman, Daniel&lt;/author&gt;&lt;/authors&gt;&lt;/contributors&gt;&lt;added-date format="utc"&gt;1531537192&lt;/added-date&gt;&lt;ref-type name="Journal Article"&gt;17&lt;/ref-type&gt;&lt;dates&gt;&lt;year&gt;1992&lt;/year&gt;&lt;/dates&gt;&lt;rec-number&gt;490&lt;/rec-number&gt;&lt;last-updated-date format="utc"&gt;1531537192&lt;/last-updated-date&gt;&lt;electronic-resource-num&gt;10.1007/bf00122574&lt;/electronic-resource-num&gt;&lt;volume&gt;5&lt;/volume&gt;&lt;/record&gt;&lt;/Cite&gt;&lt;/EndNote&gt;</w:instrText>
      </w:r>
      <w:r>
        <w:rPr>
          <w:rFonts w:ascii="Times New Roman" w:hAnsi="Times New Roman"/>
        </w:rPr>
        <w:fldChar w:fldCharType="separate"/>
      </w:r>
      <w:r>
        <w:rPr>
          <w:rFonts w:ascii="Times New Roman" w:hAnsi="Times New Roman"/>
          <w:noProof/>
        </w:rPr>
        <w:t>(Tversky &amp; Kahneman, 1992)</w:t>
      </w:r>
      <w:r>
        <w:rPr>
          <w:rFonts w:ascii="Times New Roman" w:hAnsi="Times New Roman"/>
        </w:rPr>
        <w:fldChar w:fldCharType="end"/>
      </w:r>
      <w:r>
        <w:rPr>
          <w:rFonts w:ascii="Times New Roman" w:hAnsi="Times New Roman"/>
        </w:rPr>
        <w:t>. According to these theories, people generally prefer to take a risk of a loss, rather than accept a sure loss of equivalent value (</w:t>
      </w:r>
      <w:r w:rsidR="00DF4CC6">
        <w:rPr>
          <w:rFonts w:ascii="Times New Roman" w:hAnsi="Times New Roman"/>
        </w:rPr>
        <w:t>said another way,</w:t>
      </w:r>
      <w:r>
        <w:rPr>
          <w:rFonts w:ascii="Times New Roman" w:hAnsi="Times New Roman"/>
        </w:rPr>
        <w:t xml:space="preserve"> the utility function is convex in the domain of losses).</w:t>
      </w:r>
      <w:r w:rsidR="00DF4CC6">
        <w:rPr>
          <w:rFonts w:ascii="Times New Roman" w:hAnsi="Times New Roman"/>
        </w:rPr>
        <w:t xml:space="preserve"> </w:t>
      </w:r>
      <w:r w:rsidR="00643413">
        <w:rPr>
          <w:rFonts w:ascii="Times New Roman" w:hAnsi="Times New Roman"/>
        </w:rPr>
        <w:t xml:space="preserve">For example, people generally prefer to take a 50/50 gamble of losing $100, rather than accept a sure $50 loss. </w:t>
      </w:r>
      <w:r w:rsidR="00DF4CC6">
        <w:rPr>
          <w:rFonts w:ascii="Times New Roman" w:hAnsi="Times New Roman"/>
        </w:rPr>
        <w:t>However, these theories also say that people overweight small probabilities, which could lead to overly cautious behavior for small probability losses.</w:t>
      </w:r>
      <w:r w:rsidR="00643413">
        <w:rPr>
          <w:rFonts w:ascii="Times New Roman" w:hAnsi="Times New Roman"/>
        </w:rPr>
        <w:t xml:space="preserve"> </w:t>
      </w:r>
      <w:r w:rsidR="00643413">
        <w:rPr>
          <w:rFonts w:ascii="Times New Roman" w:hAnsi="Times New Roman"/>
        </w:rPr>
        <w:lastRenderedPageBreak/>
        <w:t>For example, consumers often buy flight insurance, even though the chance of disrupted travel is low, the expected value of the insurance is negative, and consumers can cover the losses on their own without insurance.</w:t>
      </w:r>
      <w:r w:rsidR="00DF4CC6">
        <w:rPr>
          <w:rFonts w:ascii="Times New Roman" w:hAnsi="Times New Roman"/>
        </w:rPr>
        <w:t xml:space="preserve"> In the current project, we mostly investigate losses with a 4% chance of occurrence (though see Study 6 and supplemental Study S2 for exploration of other probability levels), and where the expected value is slightly better for choosing the certain loss. Therefore, it is not clear what Prospect Theory would predict for our context, except that people will be more risk</w:t>
      </w:r>
      <w:r w:rsidR="00872FB4">
        <w:rPr>
          <w:rFonts w:ascii="Times New Roman" w:hAnsi="Times New Roman"/>
        </w:rPr>
        <w:t>-</w:t>
      </w:r>
      <w:r w:rsidR="00CA6C5C">
        <w:rPr>
          <w:rFonts w:ascii="Times New Roman" w:hAnsi="Times New Roman"/>
        </w:rPr>
        <w:t>taking</w:t>
      </w:r>
      <w:r w:rsidR="00872FB4">
        <w:rPr>
          <w:rFonts w:ascii="Times New Roman" w:hAnsi="Times New Roman"/>
        </w:rPr>
        <w:t xml:space="preserve"> </w:t>
      </w:r>
      <w:r w:rsidR="00CA6C5C">
        <w:rPr>
          <w:rFonts w:ascii="Times New Roman" w:hAnsi="Times New Roman"/>
        </w:rPr>
        <w:t>in the domain of losses</w:t>
      </w:r>
      <w:r w:rsidR="00DF4CC6">
        <w:rPr>
          <w:rFonts w:ascii="Times New Roman" w:hAnsi="Times New Roman"/>
        </w:rPr>
        <w:t xml:space="preserve"> than </w:t>
      </w:r>
      <w:r w:rsidR="00CA6C5C">
        <w:rPr>
          <w:rFonts w:ascii="Times New Roman" w:hAnsi="Times New Roman"/>
        </w:rPr>
        <w:t>in the domain of</w:t>
      </w:r>
      <w:r w:rsidR="00DF4CC6">
        <w:rPr>
          <w:rFonts w:ascii="Times New Roman" w:hAnsi="Times New Roman"/>
        </w:rPr>
        <w:t xml:space="preserve"> gains</w:t>
      </w:r>
      <w:r w:rsidR="00CA7293">
        <w:rPr>
          <w:rFonts w:ascii="Times New Roman" w:hAnsi="Times New Roman"/>
        </w:rPr>
        <w:t xml:space="preserve"> </w:t>
      </w:r>
      <w:r w:rsidR="00DF4CC6">
        <w:rPr>
          <w:rFonts w:ascii="Times New Roman" w:hAnsi="Times New Roman"/>
        </w:rPr>
        <w:t>(</w:t>
      </w:r>
      <w:r w:rsidR="00CA7293">
        <w:rPr>
          <w:rFonts w:ascii="Times New Roman" w:hAnsi="Times New Roman"/>
        </w:rPr>
        <w:t xml:space="preserve">a prediction we test and confirm </w:t>
      </w:r>
      <w:r w:rsidR="00DF4CC6">
        <w:rPr>
          <w:rFonts w:ascii="Times New Roman" w:hAnsi="Times New Roman"/>
        </w:rPr>
        <w:t xml:space="preserve">in Supplemental Study S1). </w:t>
      </w:r>
      <w:r w:rsidR="004942A1">
        <w:rPr>
          <w:rFonts w:ascii="Times New Roman" w:hAnsi="Times New Roman"/>
        </w:rPr>
        <w:t xml:space="preserve">Prospect Theory does not make any predictions </w:t>
      </w:r>
      <w:r w:rsidR="00DD761D">
        <w:rPr>
          <w:rFonts w:ascii="Times New Roman" w:hAnsi="Times New Roman"/>
        </w:rPr>
        <w:t>regarding</w:t>
      </w:r>
      <w:r w:rsidR="004942A1">
        <w:rPr>
          <w:rFonts w:ascii="Times New Roman" w:hAnsi="Times New Roman"/>
        </w:rPr>
        <w:t xml:space="preserve"> precommitment. </w:t>
      </w:r>
    </w:p>
    <w:p w14:paraId="68C0489D" w14:textId="2C5457C0" w:rsidR="00211719" w:rsidRDefault="001D38FD" w:rsidP="002C2177">
      <w:pPr>
        <w:spacing w:line="480" w:lineRule="auto"/>
        <w:rPr>
          <w:rFonts w:ascii="Times New Roman" w:hAnsi="Times New Roman"/>
        </w:rPr>
      </w:pPr>
      <w:r>
        <w:rPr>
          <w:rFonts w:ascii="Times New Roman" w:hAnsi="Times New Roman"/>
        </w:rPr>
        <w:tab/>
      </w:r>
      <w:r w:rsidR="00C17E33">
        <w:rPr>
          <w:rFonts w:ascii="Times New Roman" w:hAnsi="Times New Roman"/>
        </w:rPr>
        <w:t>A second literature</w:t>
      </w:r>
      <w:r w:rsidR="00034F7C">
        <w:rPr>
          <w:rFonts w:ascii="Times New Roman" w:hAnsi="Times New Roman"/>
        </w:rPr>
        <w:t>, which does study repeated choice,</w:t>
      </w:r>
      <w:r w:rsidR="00C17E33">
        <w:rPr>
          <w:rFonts w:ascii="Times New Roman" w:hAnsi="Times New Roman"/>
        </w:rPr>
        <w:t xml:space="preserve"> examines preferences </w:t>
      </w:r>
      <w:r w:rsidR="00D7429E">
        <w:rPr>
          <w:rFonts w:ascii="Times New Roman" w:hAnsi="Times New Roman"/>
        </w:rPr>
        <w:t>when reading a</w:t>
      </w:r>
      <w:r w:rsidR="00C17E33">
        <w:rPr>
          <w:rFonts w:ascii="Times New Roman" w:hAnsi="Times New Roman"/>
        </w:rPr>
        <w:t xml:space="preserve"> </w:t>
      </w:r>
      <w:r w:rsidR="00C17E33" w:rsidRPr="00D7429E">
        <w:rPr>
          <w:rFonts w:ascii="Times New Roman" w:hAnsi="Times New Roman"/>
          <w:i/>
          <w:iCs/>
        </w:rPr>
        <w:t>description</w:t>
      </w:r>
      <w:r w:rsidR="00C17E33">
        <w:rPr>
          <w:rFonts w:ascii="Times New Roman" w:hAnsi="Times New Roman"/>
        </w:rPr>
        <w:t xml:space="preserve"> of risk (e.g., reading that that there is a </w:t>
      </w:r>
      <w:r w:rsidR="00D7429E">
        <w:rPr>
          <w:rFonts w:ascii="Times New Roman" w:hAnsi="Times New Roman"/>
        </w:rPr>
        <w:t xml:space="preserve">4% probability of loss) versus preferences when </w:t>
      </w:r>
      <w:r w:rsidR="00D7429E" w:rsidRPr="00D7429E">
        <w:rPr>
          <w:rFonts w:ascii="Times New Roman" w:hAnsi="Times New Roman"/>
          <w:i/>
          <w:iCs/>
        </w:rPr>
        <w:t>experiencing</w:t>
      </w:r>
      <w:r w:rsidR="00D7429E">
        <w:rPr>
          <w:rFonts w:ascii="Times New Roman" w:hAnsi="Times New Roman"/>
        </w:rPr>
        <w:t xml:space="preserve"> the risk (e.g., making a series of choices and receiving </w:t>
      </w:r>
      <w:r w:rsidR="000E49F4">
        <w:rPr>
          <w:rFonts w:ascii="Times New Roman" w:hAnsi="Times New Roman"/>
        </w:rPr>
        <w:t xml:space="preserve">accurate </w:t>
      </w:r>
      <w:r w:rsidR="00D7429E">
        <w:rPr>
          <w:rFonts w:ascii="Times New Roman" w:hAnsi="Times New Roman"/>
        </w:rPr>
        <w:t xml:space="preserve">feedback consistent with a 4% probability of loss). </w:t>
      </w:r>
      <w:r w:rsidR="00211719">
        <w:rPr>
          <w:rFonts w:ascii="Times New Roman" w:hAnsi="Times New Roman"/>
        </w:rPr>
        <w:t xml:space="preserve">A consistent finding is the description-experience gap </w:t>
      </w:r>
      <w:r w:rsidR="00211719">
        <w:rPr>
          <w:rFonts w:ascii="Times New Roman" w:hAnsi="Times New Roman"/>
        </w:rPr>
        <w:fldChar w:fldCharType="begin"/>
      </w:r>
      <w:r w:rsidR="00211719">
        <w:rPr>
          <w:rFonts w:ascii="Times New Roman" w:hAnsi="Times New Roman"/>
        </w:rPr>
        <w:instrText xml:space="preserve"> ADDIN EN.CITE &lt;EndNote&gt;&lt;Cite&gt;&lt;Author&gt;Hertwig&lt;/Author&gt;&lt;Year&gt;2009&lt;/Year&gt;&lt;IDText&gt;The description–experience gap in risky choice&lt;/IDText&gt;&lt;DisplayText&gt;(Hertwig &amp;amp; Erev, 2009)&lt;/DisplayText&gt;&lt;record&gt;&lt;isbn&gt;1364-6613&lt;/isbn&gt;&lt;titles&gt;&lt;title&gt;The description–experience gap in risky choice&lt;/title&gt;&lt;secondary-title&gt;Trends in cognitive sciences&lt;/secondary-title&gt;&lt;/titles&gt;&lt;pages&gt;517-523&lt;/pages&gt;&lt;number&gt;12&lt;/number&gt;&lt;contributors&gt;&lt;authors&gt;&lt;author&gt;Hertwig, Ralph&lt;/author&gt;&lt;author&gt;Erev, Ido&lt;/author&gt;&lt;/authors&gt;&lt;/contributors&gt;&lt;added-date format="utc"&gt;1597204683&lt;/added-date&gt;&lt;ref-type name="Journal Article"&gt;17&lt;/ref-type&gt;&lt;dates&gt;&lt;year&gt;2009&lt;/year&gt;&lt;/dates&gt;&lt;rec-number&gt;642&lt;/rec-number&gt;&lt;last-updated-date format="utc"&gt;1597204683&lt;/last-updated-date&gt;&lt;volume&gt;13&lt;/volume&gt;&lt;/record&gt;&lt;/Cite&gt;&lt;/EndNote&gt;</w:instrText>
      </w:r>
      <w:r w:rsidR="00211719">
        <w:rPr>
          <w:rFonts w:ascii="Times New Roman" w:hAnsi="Times New Roman"/>
        </w:rPr>
        <w:fldChar w:fldCharType="separate"/>
      </w:r>
      <w:r w:rsidR="00211719">
        <w:rPr>
          <w:rFonts w:ascii="Times New Roman" w:hAnsi="Times New Roman"/>
          <w:noProof/>
        </w:rPr>
        <w:t>(Hertwig &amp; Erev, 2009)</w:t>
      </w:r>
      <w:r w:rsidR="00211719">
        <w:rPr>
          <w:rFonts w:ascii="Times New Roman" w:hAnsi="Times New Roman"/>
        </w:rPr>
        <w:fldChar w:fldCharType="end"/>
      </w:r>
      <w:r w:rsidR="00211719">
        <w:rPr>
          <w:rFonts w:ascii="Times New Roman" w:hAnsi="Times New Roman"/>
        </w:rPr>
        <w:t xml:space="preserve">, whereby people tend to overweight descriptions of small probabilities, and underweight the experience of small probabilities (partly because </w:t>
      </w:r>
      <w:r w:rsidR="00034F7C">
        <w:rPr>
          <w:rFonts w:ascii="Times New Roman" w:hAnsi="Times New Roman"/>
        </w:rPr>
        <w:t>rare events</w:t>
      </w:r>
      <w:r w:rsidR="00211719">
        <w:rPr>
          <w:rFonts w:ascii="Times New Roman" w:hAnsi="Times New Roman"/>
        </w:rPr>
        <w:t xml:space="preserve"> are rarely experienced). </w:t>
      </w:r>
      <w:r w:rsidR="00FD025C">
        <w:rPr>
          <w:rFonts w:ascii="Times New Roman" w:hAnsi="Times New Roman"/>
        </w:rPr>
        <w:t xml:space="preserve">In our context, all participants receive both description and experience. However, the timing is different, in that when people precommit, they are basing their decision mainly or entirely on description, but when they play round-by-round, they base their decision on a combination of both. This suggests that people who precommit may </w:t>
      </w:r>
      <w:r w:rsidR="005240C3">
        <w:rPr>
          <w:rFonts w:ascii="Times New Roman" w:hAnsi="Times New Roman"/>
        </w:rPr>
        <w:t>over-</w:t>
      </w:r>
      <w:r w:rsidR="00FD025C">
        <w:rPr>
          <w:rFonts w:ascii="Times New Roman" w:hAnsi="Times New Roman"/>
        </w:rPr>
        <w:t>weight the 4% probability of loss</w:t>
      </w:r>
      <w:r w:rsidR="00D14EEB">
        <w:rPr>
          <w:rFonts w:ascii="Times New Roman" w:hAnsi="Times New Roman"/>
        </w:rPr>
        <w:t xml:space="preserve">, and </w:t>
      </w:r>
      <w:r w:rsidR="005240C3">
        <w:rPr>
          <w:rFonts w:ascii="Times New Roman" w:hAnsi="Times New Roman"/>
        </w:rPr>
        <w:t xml:space="preserve">therefore </w:t>
      </w:r>
      <w:r w:rsidR="00D14EEB">
        <w:rPr>
          <w:rFonts w:ascii="Times New Roman" w:hAnsi="Times New Roman"/>
        </w:rPr>
        <w:t xml:space="preserve">be more likely to invest in protection. </w:t>
      </w:r>
    </w:p>
    <w:p w14:paraId="2F91DD3B" w14:textId="2A81DBCE" w:rsidR="0027787E" w:rsidRDefault="00C17E33" w:rsidP="002C2177">
      <w:pPr>
        <w:spacing w:line="480" w:lineRule="auto"/>
        <w:rPr>
          <w:rFonts w:ascii="Times New Roman" w:hAnsi="Times New Roman"/>
        </w:rPr>
      </w:pPr>
      <w:r>
        <w:rPr>
          <w:rFonts w:ascii="Times New Roman" w:hAnsi="Times New Roman"/>
        </w:rPr>
        <w:tab/>
        <w:t xml:space="preserve">A nascent literature on </w:t>
      </w:r>
      <w:r w:rsidR="005240C3">
        <w:rPr>
          <w:rFonts w:ascii="Times New Roman" w:hAnsi="Times New Roman"/>
        </w:rPr>
        <w:t xml:space="preserve">risk preferences in intertemporal contexts </w:t>
      </w:r>
      <w:r w:rsidR="008D424F">
        <w:rPr>
          <w:rFonts w:ascii="Times New Roman" w:hAnsi="Times New Roman"/>
        </w:rPr>
        <w:t xml:space="preserve">has found that while people often prefer to take a risk to avoid an immediate loss (consistent with </w:t>
      </w:r>
      <w:r w:rsidR="008D424F">
        <w:rPr>
          <w:rFonts w:ascii="Times New Roman" w:hAnsi="Times New Roman"/>
        </w:rPr>
        <w:lastRenderedPageBreak/>
        <w:t>Prospect Theory), they are generally risk averse when considering losses and gains over time</w:t>
      </w:r>
      <w:r w:rsidR="00E32458">
        <w:rPr>
          <w:rFonts w:ascii="Times New Roman" w:hAnsi="Times New Roman"/>
        </w:rPr>
        <w:t xml:space="preserve"> </w:t>
      </w:r>
      <w:r w:rsidR="00E32458">
        <w:rPr>
          <w:rFonts w:ascii="Times New Roman" w:hAnsi="Times New Roman"/>
        </w:rPr>
        <w:fldChar w:fldCharType="begin"/>
      </w:r>
      <w:r w:rsidR="001E508E">
        <w:rPr>
          <w:rFonts w:ascii="Times New Roman" w:hAnsi="Times New Roman"/>
        </w:rPr>
        <w:instrText xml:space="preserve"> ADDIN EN.CITE &lt;EndNote&gt;&lt;Cite&gt;&lt;Author&gt;Hardisty&lt;/Author&gt;&lt;Year&gt;2016&lt;/Year&gt;&lt;IDText&gt;Intertemporal Uncertainty Avoidance: When the Future Is Uncertain, People Prefer the Present, and When the Present Is Uncertain, People Prefer the Future&lt;/IDText&gt;&lt;DisplayText&gt;(Hardisty &amp;amp; Pfeffer, 2016)&lt;/DisplayText&gt;&lt;record&gt;&lt;isbn&gt;0025-1909&lt;/isbn&gt;&lt;titles&gt;&lt;title&gt;Intertemporal Uncertainty Avoidance: When the Future Is Uncertain, People Prefer the Present, and When the Present Is Uncertain, People Prefer the Future&lt;/title&gt;&lt;secondary-title&gt;Management Science&lt;/secondary-title&gt;&lt;short-title&gt;Intertemporal Uncertainty Avoidance: When the Future Is Uncertain, People Prefer the Present, and When the Present Is Uncertain, People Prefer the Future&lt;/short-title&gt;&lt;/titles&gt;&lt;contributors&gt;&lt;authors&gt;&lt;author&gt;Hardisty, D. J.&lt;/author&gt;&lt;author&gt;Pfeffer, Jeffrey&lt;/author&gt;&lt;/authors&gt;&lt;/contributors&gt;&lt;added-date format="utc"&gt;1531537190&lt;/added-date&gt;&lt;ref-type name="Journal Article"&gt;17&lt;/ref-type&gt;&lt;dates&gt;&lt;year&gt;2016&lt;/year&gt;&lt;/dates&gt;&lt;rec-number&gt;228&lt;/rec-number&gt;&lt;last-updated-date format="utc"&gt;1597207220&lt;/last-updated-date&gt;&lt;/record&gt;&lt;/Cite&gt;&lt;/EndNote&gt;</w:instrText>
      </w:r>
      <w:r w:rsidR="00E32458">
        <w:rPr>
          <w:rFonts w:ascii="Times New Roman" w:hAnsi="Times New Roman"/>
        </w:rPr>
        <w:fldChar w:fldCharType="separate"/>
      </w:r>
      <w:r w:rsidR="001E508E">
        <w:rPr>
          <w:rFonts w:ascii="Times New Roman" w:hAnsi="Times New Roman"/>
          <w:noProof/>
        </w:rPr>
        <w:t>(Hardisty &amp; Pfeffer, 2016)</w:t>
      </w:r>
      <w:r w:rsidR="00E32458">
        <w:rPr>
          <w:rFonts w:ascii="Times New Roman" w:hAnsi="Times New Roman"/>
        </w:rPr>
        <w:fldChar w:fldCharType="end"/>
      </w:r>
      <w:r w:rsidR="008D424F">
        <w:rPr>
          <w:rFonts w:ascii="Times New Roman" w:hAnsi="Times New Roman"/>
        </w:rPr>
        <w:t xml:space="preserve">. </w:t>
      </w:r>
      <w:r w:rsidR="00B00332">
        <w:rPr>
          <w:rFonts w:ascii="Times New Roman" w:hAnsi="Times New Roman"/>
        </w:rPr>
        <w:t>For example, someone might prefer a 50/50 risk of losing $100 to losing $50 for sure, yet also prefer an immediate $50 loss to a 50/50 chance of losing $100 in a month. This happens partly because</w:t>
      </w:r>
      <w:r w:rsidR="00643413">
        <w:rPr>
          <w:rFonts w:ascii="Times New Roman" w:hAnsi="Times New Roman"/>
        </w:rPr>
        <w:t xml:space="preserve"> people may prefer to </w:t>
      </w:r>
      <w:r w:rsidR="00B00332">
        <w:rPr>
          <w:rFonts w:ascii="Times New Roman" w:hAnsi="Times New Roman"/>
        </w:rPr>
        <w:t>“get it over with” and avoid anxiety and dread</w:t>
      </w:r>
      <w:r w:rsidR="001E508E">
        <w:rPr>
          <w:rFonts w:ascii="Times New Roman" w:hAnsi="Times New Roman"/>
        </w:rPr>
        <w:t xml:space="preserve"> </w:t>
      </w:r>
      <w:r w:rsidR="001E508E">
        <w:rPr>
          <w:rFonts w:ascii="Times New Roman" w:hAnsi="Times New Roman"/>
        </w:rPr>
        <w:fldChar w:fldCharType="begin">
          <w:fldData xml:space="preserve">PEVuZE5vdGU+PENpdGU+PEF1dGhvcj5Nb2xvdWtpPC9BdXRob3I+PFllYXI+MjAxOTwvWWVhcj48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</w:fldData>
        </w:fldChar>
      </w:r>
      <w:r w:rsidR="001E508E">
        <w:rPr>
          <w:rFonts w:ascii="Times New Roman" w:hAnsi="Times New Roman"/>
        </w:rPr>
        <w:instrText xml:space="preserve"> ADDIN EN.CITE </w:instrText>
      </w:r>
      <w:r w:rsidR="001E508E">
        <w:rPr>
          <w:rFonts w:ascii="Times New Roman" w:hAnsi="Times New Roman"/>
        </w:rPr>
        <w:fldChar w:fldCharType="begin">
          <w:fldData xml:space="preserve">PEVuZE5vdGU+PENpdGU+PEF1dGhvcj5Nb2xvdWtpPC9BdXRob3I+PFllYXI+MjAxOTwvWWVhcj48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</w:fldData>
        </w:fldChar>
      </w:r>
      <w:r w:rsidR="001E508E">
        <w:rPr>
          <w:rFonts w:ascii="Times New Roman" w:hAnsi="Times New Roman"/>
        </w:rPr>
        <w:instrText xml:space="preserve"> ADDIN EN.CITE.DATA </w:instrText>
      </w:r>
      <w:r w:rsidR="001E508E">
        <w:rPr>
          <w:rFonts w:ascii="Times New Roman" w:hAnsi="Times New Roman"/>
        </w:rPr>
      </w:r>
      <w:r w:rsidR="001E508E">
        <w:rPr>
          <w:rFonts w:ascii="Times New Roman" w:hAnsi="Times New Roman"/>
        </w:rPr>
        <w:fldChar w:fldCharType="end"/>
      </w:r>
      <w:r w:rsidR="001E508E">
        <w:rPr>
          <w:rFonts w:ascii="Times New Roman" w:hAnsi="Times New Roman"/>
        </w:rPr>
      </w:r>
      <w:r w:rsidR="001E508E">
        <w:rPr>
          <w:rFonts w:ascii="Times New Roman" w:hAnsi="Times New Roman"/>
        </w:rPr>
        <w:fldChar w:fldCharType="separate"/>
      </w:r>
      <w:r w:rsidR="001E508E">
        <w:rPr>
          <w:rFonts w:ascii="Times New Roman" w:hAnsi="Times New Roman"/>
          <w:noProof/>
        </w:rPr>
        <w:t>(Hardisty &amp; Weber, 2020; Molouki, Hardisty, &amp; Caruso, 2019; Sun et al., 2020)</w:t>
      </w:r>
      <w:r w:rsidR="001E508E">
        <w:rPr>
          <w:rFonts w:ascii="Times New Roman" w:hAnsi="Times New Roman"/>
        </w:rPr>
        <w:fldChar w:fldCharType="end"/>
      </w:r>
      <w:r w:rsidR="00E32458">
        <w:rPr>
          <w:rFonts w:ascii="Times New Roman" w:hAnsi="Times New Roman"/>
        </w:rPr>
        <w:t xml:space="preserve">. </w:t>
      </w:r>
      <w:r w:rsidR="008D424F">
        <w:rPr>
          <w:rFonts w:ascii="Times New Roman" w:hAnsi="Times New Roman"/>
        </w:rPr>
        <w:t>However, this is only true when the risky option enables people to avoid</w:t>
      </w:r>
      <w:r w:rsidR="00643413">
        <w:rPr>
          <w:rFonts w:ascii="Times New Roman" w:hAnsi="Times New Roman"/>
        </w:rPr>
        <w:t xml:space="preserve"> the loss altogether; when the risky option offers a narrow range of outcomes, it can actually increase the attractiveness of the option, due to excitement </w:t>
      </w:r>
      <w:r w:rsidR="00643413">
        <w:rPr>
          <w:rFonts w:ascii="Times New Roman" w:hAnsi="Times New Roman"/>
        </w:rPr>
        <w:fldChar w:fldCharType="begin"/>
      </w:r>
      <w:r w:rsidR="00643413">
        <w:rPr>
          <w:rFonts w:ascii="Times New Roman" w:hAnsi="Times New Roman"/>
        </w:rPr>
        <w:instrText xml:space="preserve"> ADDIN EN.CITE &lt;EndNote&gt;&lt;Cite&gt;&lt;Author&gt;Liu&lt;/Author&gt;&lt;Year&gt;2020&lt;/Year&gt;&lt;IDText&gt;The Future Ambiguity Effect: How Narrow Payoff Ranges Increase Future Payoff Appeal&lt;/IDText&gt;&lt;DisplayText&gt;(Liu, Heath, &amp;amp; Onculer, 2020)&lt;/DisplayText&gt;&lt;record&gt;&lt;isbn&gt;0025-1909&lt;/isbn&gt;&lt;titles&gt;&lt;title&gt;The Future Ambiguity Effect: How Narrow Payoff Ranges Increase Future Payoff Appeal&lt;/title&gt;&lt;secondary-title&gt;Management Science&lt;/secondary-title&gt;&lt;/titles&gt;&lt;contributors&gt;&lt;authors&gt;&lt;author&gt;Liu, Yuanyuan&lt;/author&gt;&lt;author&gt;Heath, Timothy B&lt;/author&gt;&lt;author&gt;Onculer, Ayse&lt;/author&gt;&lt;/authors&gt;&lt;/contributors&gt;&lt;added-date format="utc"&gt;1597206226&lt;/added-date&gt;&lt;ref-type name="Journal Article"&gt;17&lt;/ref-type&gt;&lt;dates&gt;&lt;year&gt;2020&lt;/year&gt;&lt;/dates&gt;&lt;rec-number&gt;643&lt;/rec-number&gt;&lt;last-updated-date format="utc"&gt;1597206226&lt;/last-updated-date&gt;&lt;/record&gt;&lt;/Cite&gt;&lt;/EndNote&gt;</w:instrText>
      </w:r>
      <w:r w:rsidR="00643413">
        <w:rPr>
          <w:rFonts w:ascii="Times New Roman" w:hAnsi="Times New Roman"/>
        </w:rPr>
        <w:fldChar w:fldCharType="separate"/>
      </w:r>
      <w:r w:rsidR="00643413">
        <w:rPr>
          <w:rFonts w:ascii="Times New Roman" w:hAnsi="Times New Roman"/>
          <w:noProof/>
        </w:rPr>
        <w:t>(Liu, Heath, &amp; Onculer, 2020)</w:t>
      </w:r>
      <w:r w:rsidR="00643413">
        <w:rPr>
          <w:rFonts w:ascii="Times New Roman" w:hAnsi="Times New Roman"/>
        </w:rPr>
        <w:fldChar w:fldCharType="end"/>
      </w:r>
      <w:r w:rsidR="00643413">
        <w:rPr>
          <w:rFonts w:ascii="Times New Roman" w:hAnsi="Times New Roman"/>
        </w:rPr>
        <w:t xml:space="preserve">. </w:t>
      </w:r>
      <w:r w:rsidR="00231241">
        <w:rPr>
          <w:rFonts w:ascii="Times New Roman" w:hAnsi="Times New Roman"/>
        </w:rPr>
        <w:t xml:space="preserve">In the current context, we study situations where the loss can be avoided entirely. </w:t>
      </w:r>
      <w:r w:rsidR="00D97E92">
        <w:rPr>
          <w:rFonts w:ascii="Times New Roman" w:hAnsi="Times New Roman"/>
        </w:rPr>
        <w:t xml:space="preserve">Therefore, if precommitment changes the choice from an immediate choice to an intertemporal choice, this literature suggests that precommitment should lead to safer choices. </w:t>
      </w:r>
    </w:p>
    <w:p w14:paraId="7BC393AE" w14:textId="333E17D2" w:rsidR="0027787E" w:rsidRPr="001B6981" w:rsidRDefault="00010F3D" w:rsidP="00B256F0">
      <w:pPr>
        <w:spacing w:line="480" w:lineRule="auto"/>
        <w:ind w:firstLine="720"/>
        <w:rPr>
          <w:rFonts w:ascii="Times New Roman" w:hAnsi="Times New Roman"/>
          <w:i/>
          <w:iCs/>
        </w:rPr>
      </w:pPr>
      <w:r w:rsidRPr="0027787E">
        <w:rPr>
          <w:rFonts w:ascii="Times New Roman" w:hAnsi="Times New Roman"/>
          <w:i/>
          <w:iCs/>
        </w:rPr>
        <w:t>Choice bracketing</w:t>
      </w:r>
    </w:p>
    <w:p w14:paraId="33705EB0" w14:textId="49BB2AAF" w:rsidR="00D97E92" w:rsidRDefault="00D97E92" w:rsidP="002C2177">
      <w:pPr>
        <w:spacing w:line="480" w:lineRule="auto"/>
        <w:ind w:firstLine="720"/>
        <w:rPr>
          <w:rFonts w:ascii="Times New Roman" w:hAnsi="Times New Roman"/>
        </w:rPr>
      </w:pPr>
      <w:r>
        <w:rPr>
          <w:rFonts w:ascii="Times New Roman" w:hAnsi="Times New Roman"/>
        </w:rPr>
        <w:t xml:space="preserve">Choice bracketing refers to the fact that a decision-maker may consider a series of choices in isolation, as a series of one-off decisions (“narrow bracketing”), or together, as a set of connected choices </w:t>
      </w:r>
      <w:r>
        <w:rPr>
          <w:rFonts w:ascii="Times New Roman" w:hAnsi="Times New Roman"/>
        </w:rPr>
        <w:fldChar w:fldCharType="begin"/>
      </w:r>
      <w:r>
        <w:rPr>
          <w:rFonts w:ascii="Times New Roman" w:hAnsi="Times New Roman"/>
        </w:rPr>
        <w:instrText xml:space="preserve"> ADDIN EN.CITE &lt;EndNote&gt;&lt;Cite&gt;&lt;Author&gt;Read&lt;/Author&gt;&lt;Year&gt;1999&lt;/Year&gt;&lt;IDText&gt;Choice Bracketing&lt;/IDText&gt;&lt;Prefix&gt;“broad bracketing”`, &lt;/Prefix&gt;&lt;DisplayText&gt;(“broad bracketing”, Read et al., 1999)&lt;/DisplayText&gt;&lt;record&gt;&lt;titles&gt;&lt;title&gt;Choice Bracketing&lt;/title&gt;&lt;secondary-title&gt;Journal of Risk and Uncertainty&lt;/secondary-title&gt;&lt;short-title&gt;Choice Bracketing&lt;/short-title&gt;&lt;/titles&gt;&lt;pages&gt;171-197&lt;/pages&gt;&lt;contributors&gt;&lt;authors&gt;&lt;author&gt;Read, Daniel&lt;/author&gt;&lt;author&gt;Loewenstein, George&lt;/author&gt;&lt;author&gt;Rabin, M.&lt;/author&gt;&lt;/authors&gt;&lt;/contributors&gt;&lt;added-date format="utc"&gt;1531537191&lt;/added-date&gt;&lt;ref-type name="Journal Article"&gt;17&lt;/ref-type&gt;&lt;dates&gt;&lt;year&gt;1999&lt;/year&gt;&lt;/dates&gt;&lt;rec-number&gt;422&lt;/rec-number&gt;&lt;last-updated-date format="utc"&gt;1531537191&lt;/last-updated-date&gt;&lt;volume&gt;19&lt;/volume&gt;&lt;/record&gt;&lt;/Cite&gt;&lt;/EndNote&gt;</w:instrText>
      </w:r>
      <w:r>
        <w:rPr>
          <w:rFonts w:ascii="Times New Roman" w:hAnsi="Times New Roman"/>
        </w:rPr>
        <w:fldChar w:fldCharType="separate"/>
      </w:r>
      <w:r>
        <w:rPr>
          <w:rFonts w:ascii="Times New Roman" w:hAnsi="Times New Roman"/>
          <w:noProof/>
        </w:rPr>
        <w:t>(“broad bracketing”, Read et al., 1999)</w:t>
      </w:r>
      <w:r>
        <w:rPr>
          <w:rFonts w:ascii="Times New Roman" w:hAnsi="Times New Roman"/>
        </w:rPr>
        <w:fldChar w:fldCharType="end"/>
      </w:r>
      <w:r>
        <w:rPr>
          <w:rFonts w:ascii="Times New Roman" w:hAnsi="Times New Roman"/>
        </w:rPr>
        <w:t xml:space="preserve">, with a variety of behavioral consequences. </w:t>
      </w:r>
      <w:r w:rsidR="00C2256D">
        <w:rPr>
          <w:rFonts w:ascii="Times New Roman" w:hAnsi="Times New Roman"/>
        </w:rPr>
        <w:t>Three</w:t>
      </w:r>
      <w:r>
        <w:rPr>
          <w:rFonts w:ascii="Times New Roman" w:hAnsi="Times New Roman"/>
        </w:rPr>
        <w:t xml:space="preserve"> effects of broad bracketing are</w:t>
      </w:r>
      <w:r w:rsidR="00076F94">
        <w:rPr>
          <w:rFonts w:ascii="Times New Roman" w:hAnsi="Times New Roman"/>
        </w:rPr>
        <w:t>: (</w:t>
      </w:r>
      <w:proofErr w:type="spellStart"/>
      <w:r w:rsidR="00076F94">
        <w:rPr>
          <w:rFonts w:ascii="Times New Roman" w:hAnsi="Times New Roman"/>
        </w:rPr>
        <w:t>i</w:t>
      </w:r>
      <w:proofErr w:type="spellEnd"/>
      <w:r w:rsidR="00076F94">
        <w:rPr>
          <w:rFonts w:ascii="Times New Roman" w:hAnsi="Times New Roman"/>
        </w:rPr>
        <w:t>)</w:t>
      </w:r>
      <w:r>
        <w:rPr>
          <w:rFonts w:ascii="Times New Roman" w:hAnsi="Times New Roman"/>
        </w:rPr>
        <w:t xml:space="preserve"> </w:t>
      </w:r>
      <w:r w:rsidR="00190FA0">
        <w:rPr>
          <w:rFonts w:ascii="Times New Roman" w:hAnsi="Times New Roman"/>
        </w:rPr>
        <w:t xml:space="preserve">a focus on aggregate outcomes, </w:t>
      </w:r>
      <w:r w:rsidR="00076F94">
        <w:rPr>
          <w:rFonts w:ascii="Times New Roman" w:hAnsi="Times New Roman"/>
        </w:rPr>
        <w:t xml:space="preserve">(ii) </w:t>
      </w:r>
      <w:r>
        <w:rPr>
          <w:rFonts w:ascii="Times New Roman" w:hAnsi="Times New Roman"/>
        </w:rPr>
        <w:t>cumulative probability perceptions</w:t>
      </w:r>
      <w:r w:rsidR="00190FA0">
        <w:rPr>
          <w:rFonts w:ascii="Times New Roman" w:hAnsi="Times New Roman"/>
        </w:rPr>
        <w:t>,</w:t>
      </w:r>
      <w:r>
        <w:rPr>
          <w:rFonts w:ascii="Times New Roman" w:hAnsi="Times New Roman"/>
        </w:rPr>
        <w:t xml:space="preserve"> </w:t>
      </w:r>
      <w:r w:rsidR="004A355D">
        <w:rPr>
          <w:rFonts w:ascii="Times New Roman" w:hAnsi="Times New Roman"/>
        </w:rPr>
        <w:t xml:space="preserve">and </w:t>
      </w:r>
      <w:r w:rsidR="00076F94">
        <w:rPr>
          <w:rFonts w:ascii="Times New Roman" w:hAnsi="Times New Roman"/>
        </w:rPr>
        <w:t xml:space="preserve">(iii) </w:t>
      </w:r>
      <w:r>
        <w:rPr>
          <w:rFonts w:ascii="Times New Roman" w:hAnsi="Times New Roman"/>
        </w:rPr>
        <w:t>preference</w:t>
      </w:r>
      <w:r w:rsidR="004A355D">
        <w:rPr>
          <w:rFonts w:ascii="Times New Roman" w:hAnsi="Times New Roman"/>
        </w:rPr>
        <w:t>s</w:t>
      </w:r>
      <w:r>
        <w:rPr>
          <w:rFonts w:ascii="Times New Roman" w:hAnsi="Times New Roman"/>
        </w:rPr>
        <w:t xml:space="preserve"> for diversification. </w:t>
      </w:r>
    </w:p>
    <w:p w14:paraId="6814C3F4" w14:textId="6BF94EE1" w:rsidR="00D97E92" w:rsidRDefault="007C0F66" w:rsidP="002C2177">
      <w:pPr>
        <w:spacing w:line="480" w:lineRule="auto"/>
        <w:ind w:firstLine="720"/>
        <w:rPr>
          <w:rFonts w:ascii="Times New Roman" w:hAnsi="Times New Roman"/>
        </w:rPr>
      </w:pPr>
      <w:r>
        <w:rPr>
          <w:rFonts w:ascii="Times New Roman" w:hAnsi="Times New Roman"/>
        </w:rPr>
        <w:t xml:space="preserve">Research on broad bracketing and </w:t>
      </w:r>
      <w:r w:rsidR="00190FA0">
        <w:rPr>
          <w:rFonts w:ascii="Times New Roman" w:hAnsi="Times New Roman"/>
        </w:rPr>
        <w:t>aggregate outcomes</w:t>
      </w:r>
      <w:r w:rsidR="00732678">
        <w:rPr>
          <w:rFonts w:ascii="Times New Roman" w:hAnsi="Times New Roman"/>
        </w:rPr>
        <w:t xml:space="preserve"> </w:t>
      </w:r>
      <w:r w:rsidR="00DF1A88">
        <w:rPr>
          <w:rFonts w:ascii="Times New Roman" w:hAnsi="Times New Roman"/>
        </w:rPr>
        <w:t>began with the observation that people have different risk preferences when considering playing a gamble once than when considering playing the same gamble five times</w:t>
      </w:r>
      <w:r w:rsidR="009118AE">
        <w:rPr>
          <w:rFonts w:ascii="Times New Roman" w:hAnsi="Times New Roman"/>
        </w:rPr>
        <w:t xml:space="preserve"> </w:t>
      </w:r>
      <w:r w:rsidR="009118AE">
        <w:rPr>
          <w:rFonts w:ascii="Times New Roman" w:hAnsi="Times New Roman"/>
        </w:rPr>
        <w:fldChar w:fldCharType="begin"/>
      </w:r>
      <w:r w:rsidR="009118AE">
        <w:rPr>
          <w:rFonts w:ascii="Times New Roman" w:hAnsi="Times New Roman"/>
        </w:rPr>
        <w:instrText xml:space="preserve"> ADDIN EN.CITE &lt;EndNote&gt;&lt;Cite&gt;&lt;Author&gt;Redelmeier&lt;/Author&gt;&lt;Year&gt;1992&lt;/Year&gt;&lt;IDText&gt;On the Framing of Multiple Prospects&lt;/IDText&gt;&lt;DisplayText&gt;(Redelmeier &amp;amp; Tversky, 1992)&lt;/DisplayText&gt;&lt;record&gt;&lt;titles&gt;&lt;title&gt;On the Framing of Multiple Prospects&lt;/title&gt;&lt;secondary-title&gt;Psychological Science&lt;/secondary-title&gt;&lt;short-title&gt;On the Framing of Multiple Prospects&lt;/short-title&gt;&lt;/titles&gt;&lt;pages&gt;191-193&lt;/pages&gt;&lt;number&gt;3&lt;/number&gt;&lt;contributors&gt;&lt;authors&gt;&lt;author&gt;Redelmeier, D. A.&lt;/author&gt;&lt;author&gt;Tversky, Amos&lt;/author&gt;&lt;/authors&gt;&lt;/contributors&gt;&lt;added-date format="utc"&gt;1531537191&lt;/added-date&gt;&lt;ref-type name="Journal Article"&gt;17&lt;/ref-type&gt;&lt;dates&gt;&lt;year&gt;1992&lt;/year&gt;&lt;/dates&gt;&lt;rec-number&gt;426&lt;/rec-number&gt;&lt;last-updated-date format="utc"&gt;1531537191&lt;/last-updated-date&gt;&lt;electronic-resource-num&gt;10.1111/j.1467-9280.1992.tb00025.x&lt;/electronic-resource-num&gt;&lt;volume&gt;3&lt;/volume&gt;&lt;/record&gt;&lt;/Cite&gt;&lt;/EndNote&gt;</w:instrText>
      </w:r>
      <w:r w:rsidR="009118AE">
        <w:rPr>
          <w:rFonts w:ascii="Times New Roman" w:hAnsi="Times New Roman"/>
        </w:rPr>
        <w:fldChar w:fldCharType="separate"/>
      </w:r>
      <w:r w:rsidR="009118AE">
        <w:rPr>
          <w:rFonts w:ascii="Times New Roman" w:hAnsi="Times New Roman"/>
          <w:noProof/>
        </w:rPr>
        <w:t>(Redelmeier &amp; Tversky, 1992)</w:t>
      </w:r>
      <w:r w:rsidR="009118AE">
        <w:rPr>
          <w:rFonts w:ascii="Times New Roman" w:hAnsi="Times New Roman"/>
        </w:rPr>
        <w:fldChar w:fldCharType="end"/>
      </w:r>
      <w:r w:rsidR="00DF1A88">
        <w:rPr>
          <w:rFonts w:ascii="Times New Roman" w:hAnsi="Times New Roman"/>
        </w:rPr>
        <w:t xml:space="preserve">. When faced with the question “Imagine that you have the opportunity to play a gamble that offers a 50% chance to win $2,000 and a 50% chance to lose $500. Would you play </w:t>
      </w:r>
      <w:r w:rsidR="00DF1A88">
        <w:rPr>
          <w:rFonts w:ascii="Times New Roman" w:hAnsi="Times New Roman"/>
        </w:rPr>
        <w:lastRenderedPageBreak/>
        <w:t>the gamble?”</w:t>
      </w:r>
      <w:r w:rsidR="00671E7E">
        <w:rPr>
          <w:rFonts w:ascii="Times New Roman" w:hAnsi="Times New Roman"/>
        </w:rPr>
        <w:t xml:space="preserve">, 43% of people answered yes. Subsequently, participants were asked “Now, suppose you have the opportunity to play the gamble five times, not just once. Would you play it five times?”, and 63% said yes. This shows that people are sensitive to the aggregated outcome of multiple risks. People are loss averse and want to avoid the chance of a loss in the single play, but when playing </w:t>
      </w:r>
      <w:r w:rsidR="008E64A6">
        <w:rPr>
          <w:rFonts w:ascii="Times New Roman" w:hAnsi="Times New Roman"/>
        </w:rPr>
        <w:t>five</w:t>
      </w:r>
      <w:r w:rsidR="00671E7E">
        <w:rPr>
          <w:rFonts w:ascii="Times New Roman" w:hAnsi="Times New Roman"/>
        </w:rPr>
        <w:t xml:space="preserve"> times, the </w:t>
      </w:r>
      <w:r w:rsidR="008E64A6">
        <w:rPr>
          <w:rFonts w:ascii="Times New Roman" w:hAnsi="Times New Roman"/>
        </w:rPr>
        <w:t>overall profile is quite positive, and people choose it more ofte</w:t>
      </w:r>
      <w:r w:rsidR="00A11BEB">
        <w:rPr>
          <w:rFonts w:ascii="Times New Roman" w:hAnsi="Times New Roman"/>
        </w:rPr>
        <w:t>n</w:t>
      </w:r>
      <w:r w:rsidR="008E64A6">
        <w:rPr>
          <w:rFonts w:ascii="Times New Roman" w:hAnsi="Times New Roman"/>
        </w:rPr>
        <w:t xml:space="preserve">. </w:t>
      </w:r>
      <w:r w:rsidR="00A11BEB" w:rsidRPr="00BA0848">
        <w:rPr>
          <w:rFonts w:ascii="Times New Roman" w:hAnsi="Times New Roman"/>
        </w:rPr>
        <w:t xml:space="preserve">This was later extended to the idea of “myopic loss aversion”, whereby </w:t>
      </w:r>
      <w:r w:rsidR="00BA0848" w:rsidRPr="00BA0848">
        <w:rPr>
          <w:rFonts w:ascii="Times New Roman" w:hAnsi="Times New Roman"/>
        </w:rPr>
        <w:t>investors</w:t>
      </w:r>
      <w:r w:rsidR="00BA0848">
        <w:rPr>
          <w:rFonts w:ascii="Times New Roman" w:hAnsi="Times New Roman"/>
        </w:rPr>
        <w:t xml:space="preserve"> are overly risk averse due to a focus on short-term performance and fear of loss </w:t>
      </w:r>
      <w:r w:rsidR="00DC7293">
        <w:rPr>
          <w:rFonts w:ascii="Times New Roman" w:hAnsi="Times New Roman"/>
        </w:rPr>
        <w:t xml:space="preserve">on an annual basis, even when investing for the long term </w:t>
      </w:r>
      <w:r w:rsidR="00A11BEB">
        <w:rPr>
          <w:rFonts w:ascii="Times New Roman" w:hAnsi="Times New Roman"/>
        </w:rPr>
        <w:fldChar w:fldCharType="begin"/>
      </w:r>
      <w:r w:rsidR="00A11BEB">
        <w:rPr>
          <w:rFonts w:ascii="Times New Roman" w:hAnsi="Times New Roman"/>
        </w:rPr>
        <w:instrText xml:space="preserve"> ADDIN EN.CITE &lt;EndNote&gt;&lt;Cite&gt;&lt;Author&gt;Benartzi&lt;/Author&gt;&lt;Year&gt;1995&lt;/Year&gt;&lt;IDText&gt;Myopic loss aversion and the equity premium puzzle&lt;/IDText&gt;&lt;DisplayText&gt;(Benartzi &amp;amp; Thaler, 1995; Hardin &amp;amp; Looney, 2012)&lt;/DisplayText&gt;&lt;record&gt;&lt;isbn&gt;1531-4650&lt;/isbn&gt;&lt;titles&gt;&lt;title&gt;Myopic loss aversion and the equity premium puzzle&lt;/title&gt;&lt;secondary-title&gt;The quarterly journal of Economics&lt;/secondary-title&gt;&lt;/titles&gt;&lt;pages&gt;73-92&lt;/pages&gt;&lt;number&gt;1&lt;/number&gt;&lt;contributors&gt;&lt;authors&gt;&lt;author&gt;Benartzi, Shlomo&lt;/author&gt;&lt;author&gt;Thaler, Richard H&lt;/author&gt;&lt;/authors&gt;&lt;/contributors&gt;&lt;added-date format="utc"&gt;1597292577&lt;/added-date&gt;&lt;ref-type name="Journal Article"&gt;17&lt;/ref-type&gt;&lt;dates&gt;&lt;year&gt;1995&lt;/year&gt;&lt;/dates&gt;&lt;rec-number&gt;647&lt;/rec-number&gt;&lt;last-updated-date format="utc"&gt;1597292577&lt;/last-updated-date&gt;&lt;volume&gt;110&lt;/volume&gt;&lt;/record&gt;&lt;/Cite&gt;&lt;Cite&gt;&lt;Author&gt;Hardin&lt;/Author&gt;&lt;Year&gt;2012&lt;/Year&gt;&lt;IDText&gt;Myopic loss aversion: Demystifying the key factors influencing decision problem framing&lt;/IDText&gt;&lt;record&gt;&lt;titles&gt;&lt;title&gt;Myopic loss aversion: Demystifying the key factors influencing decision problem framing&lt;/title&gt;&lt;secondary-title&gt;Organizational Behavior &amp;amp; Human Decision Processes&lt;/secondary-title&gt;&lt;short-title&gt;Myopic loss aversion: Demystifying the key factors influencing decision problem framing&lt;/short-title&gt;&lt;/titles&gt;&lt;pages&gt;311-331&lt;/pages&gt;&lt;contributors&gt;&lt;authors&gt;&lt;author&gt;Hardin, Andrew M.&lt;/author&gt;&lt;author&gt;Looney, Clayton Arlen&lt;/author&gt;&lt;/authors&gt;&lt;/contributors&gt;&lt;added-date format="utc"&gt;1531537189&lt;/added-date&gt;&lt;ref-type name="Journal Article"&gt;17&lt;/ref-type&gt;&lt;dates&gt;&lt;year&gt;2012&lt;/year&gt;&lt;/dates&gt;&lt;rec-number&gt;219&lt;/rec-number&gt;&lt;last-updated-date format="utc"&gt;1531537189&lt;/last-updated-date&gt;&lt;volume&gt;117&lt;/volume&gt;&lt;/record&gt;&lt;/Cite&gt;&lt;/EndNote&gt;</w:instrText>
      </w:r>
      <w:r w:rsidR="00A11BEB">
        <w:rPr>
          <w:rFonts w:ascii="Times New Roman" w:hAnsi="Times New Roman"/>
        </w:rPr>
        <w:fldChar w:fldCharType="separate"/>
      </w:r>
      <w:r w:rsidR="00A11BEB">
        <w:rPr>
          <w:rFonts w:ascii="Times New Roman" w:hAnsi="Times New Roman"/>
          <w:noProof/>
        </w:rPr>
        <w:t>(Benartzi &amp; Thaler, 1995; Hardin &amp; Looney, 2012)</w:t>
      </w:r>
      <w:r w:rsidR="00A11BEB">
        <w:rPr>
          <w:rFonts w:ascii="Times New Roman" w:hAnsi="Times New Roman"/>
        </w:rPr>
        <w:fldChar w:fldCharType="end"/>
      </w:r>
      <w:r w:rsidR="00A11BEB">
        <w:rPr>
          <w:rFonts w:ascii="Times New Roman" w:hAnsi="Times New Roman"/>
        </w:rPr>
        <w:t>.</w:t>
      </w:r>
      <w:r w:rsidR="003371AA">
        <w:rPr>
          <w:rFonts w:ascii="Times New Roman" w:hAnsi="Times New Roman"/>
        </w:rPr>
        <w:t xml:space="preserve"> </w:t>
      </w:r>
      <w:r w:rsidR="00D12944">
        <w:rPr>
          <w:rFonts w:ascii="Times New Roman" w:hAnsi="Times New Roman"/>
        </w:rPr>
        <w:t xml:space="preserve">In the context of the current research (repeated decisions about low-probability, large-magnitude losses), we should expect that precommitment to multiple choices shift focus from an individual outcome to the cumulative distribution of outcomes, and should increase safe behavior if that cumulative distribution makes safety attractive. </w:t>
      </w:r>
    </w:p>
    <w:p w14:paraId="7134986F" w14:textId="19C3379E" w:rsidR="00190FA0" w:rsidRDefault="008E64A6" w:rsidP="002C2177">
      <w:pPr>
        <w:spacing w:line="480" w:lineRule="auto"/>
        <w:ind w:firstLine="720"/>
        <w:rPr>
          <w:rFonts w:ascii="Times New Roman" w:hAnsi="Times New Roman"/>
        </w:rPr>
      </w:pPr>
      <w:r>
        <w:rPr>
          <w:rFonts w:ascii="Times New Roman" w:hAnsi="Times New Roman"/>
        </w:rPr>
        <w:t>Related r</w:t>
      </w:r>
      <w:r w:rsidR="00190FA0">
        <w:rPr>
          <w:rFonts w:ascii="Times New Roman" w:hAnsi="Times New Roman"/>
        </w:rPr>
        <w:t xml:space="preserve">esearch on broad bracketing of probabilities started with </w:t>
      </w:r>
      <w:r w:rsidR="00B362CE">
        <w:rPr>
          <w:rFonts w:ascii="Times New Roman" w:hAnsi="Times New Roman"/>
        </w:rPr>
        <w:t>studies</w:t>
      </w:r>
      <w:r w:rsidR="00190FA0">
        <w:rPr>
          <w:rFonts w:ascii="Times New Roman" w:hAnsi="Times New Roman"/>
        </w:rPr>
        <w:t xml:space="preserve"> o</w:t>
      </w:r>
      <w:r w:rsidR="00B362CE">
        <w:rPr>
          <w:rFonts w:ascii="Times New Roman" w:hAnsi="Times New Roman"/>
        </w:rPr>
        <w:t>f</w:t>
      </w:r>
      <w:r w:rsidR="00190FA0">
        <w:rPr>
          <w:rFonts w:ascii="Times New Roman" w:hAnsi="Times New Roman"/>
        </w:rPr>
        <w:t xml:space="preserve"> seatbelt use: when the likelihood of being killed or injured during a single trip (</w:t>
      </w:r>
      <w:r w:rsidR="00190FA0" w:rsidRPr="00D3158E">
        <w:rPr>
          <w:rFonts w:ascii="Times New Roman" w:hAnsi="Times New Roman"/>
        </w:rPr>
        <w:t>~.00000025 probability of being killed, and .00001 of being injured</w:t>
      </w:r>
      <w:r w:rsidR="00190FA0">
        <w:rPr>
          <w:rFonts w:ascii="Times New Roman" w:hAnsi="Times New Roman"/>
        </w:rPr>
        <w:t xml:space="preserve">) </w:t>
      </w:r>
      <w:r w:rsidR="008E0155">
        <w:rPr>
          <w:rFonts w:ascii="Times New Roman" w:hAnsi="Times New Roman"/>
        </w:rPr>
        <w:t>is</w:t>
      </w:r>
      <w:r w:rsidR="00190FA0">
        <w:rPr>
          <w:rFonts w:ascii="Times New Roman" w:hAnsi="Times New Roman"/>
        </w:rPr>
        <w:t xml:space="preserve"> communicated to individuals, it </w:t>
      </w:r>
      <w:r w:rsidR="008E0155">
        <w:rPr>
          <w:rFonts w:ascii="Times New Roman" w:hAnsi="Times New Roman"/>
        </w:rPr>
        <w:t>does</w:t>
      </w:r>
      <w:r w:rsidR="00190FA0">
        <w:rPr>
          <w:rFonts w:ascii="Times New Roman" w:hAnsi="Times New Roman"/>
        </w:rPr>
        <w:t xml:space="preserve"> not worry them much. However, when the lifetime risk of death (~.01) or injury (.33) </w:t>
      </w:r>
      <w:r w:rsidR="008E0155">
        <w:rPr>
          <w:rFonts w:ascii="Times New Roman" w:hAnsi="Times New Roman"/>
        </w:rPr>
        <w:t>is</w:t>
      </w:r>
      <w:r w:rsidR="00190FA0">
        <w:rPr>
          <w:rFonts w:ascii="Times New Roman" w:hAnsi="Times New Roman"/>
        </w:rPr>
        <w:t xml:space="preserve"> presented to individuals, they </w:t>
      </w:r>
      <w:r w:rsidR="008E0155">
        <w:rPr>
          <w:rFonts w:ascii="Times New Roman" w:hAnsi="Times New Roman"/>
        </w:rPr>
        <w:t>are</w:t>
      </w:r>
      <w:r w:rsidR="00190FA0">
        <w:rPr>
          <w:rFonts w:ascii="Times New Roman" w:hAnsi="Times New Roman"/>
        </w:rPr>
        <w:t xml:space="preserve"> more likely to use seatbelts  </w:t>
      </w:r>
      <w:r w:rsidR="00190FA0">
        <w:rPr>
          <w:rFonts w:ascii="Times New Roman" w:hAnsi="Times New Roman"/>
        </w:rPr>
        <w:fldChar w:fldCharType="begin"/>
      </w:r>
      <w:r w:rsidR="00190FA0">
        <w:rPr>
          <w:rFonts w:ascii="Times New Roman" w:hAnsi="Times New Roman"/>
        </w:rPr>
        <w:instrText xml:space="preserve"> ADDIN EN.CITE &lt;EndNote&gt;&lt;Cite&gt;&lt;Author&gt;Slovic&lt;/Author&gt;&lt;Year&gt;1978&lt;/Year&gt;&lt;IDText&gt;Accident probabilities and seat belt usage: A psychological perspective&lt;/IDText&gt;&lt;DisplayText&gt;(Slovic, Fischhoff, &amp;amp; Lichtenstein, 1978)&lt;/DisplayText&gt;&lt;record&gt;&lt;titles&gt;&lt;title&gt;Accident probabilities and seat belt usage: A psychological perspective&lt;/title&gt;&lt;/titles&gt;&lt;contributors&gt;&lt;authors&gt;&lt;author&gt;Slovic, Paul&lt;/author&gt;&lt;author&gt;Fischhoff, Baruch&lt;/author&gt;&lt;author&gt;Lichtenstein, Sarah&lt;/author&gt;&lt;/authors&gt;&lt;/contributors&gt;&lt;added-date format="utc"&gt;1541109647&lt;/added-date&gt;&lt;ref-type name="Journal Article"&gt;17&lt;/ref-type&gt;&lt;dates&gt;&lt;year&gt;1978&lt;/year&gt;&lt;/dates&gt;&lt;rec-number&gt;557&lt;/rec-number&gt;&lt;last-updated-date format="utc"&gt;1541109647&lt;/last-updated-date&gt;&lt;/record&gt;&lt;/Cite&gt;&lt;/EndNote&gt;</w:instrText>
      </w:r>
      <w:r w:rsidR="00190FA0">
        <w:rPr>
          <w:rFonts w:ascii="Times New Roman" w:hAnsi="Times New Roman"/>
        </w:rPr>
        <w:fldChar w:fldCharType="separate"/>
      </w:r>
      <w:r w:rsidR="00190FA0">
        <w:rPr>
          <w:rFonts w:ascii="Times New Roman" w:hAnsi="Times New Roman"/>
          <w:noProof/>
        </w:rPr>
        <w:t>(Slovic, Fischhoff, &amp; Lichtenstein, 1978)</w:t>
      </w:r>
      <w:r w:rsidR="00190FA0">
        <w:rPr>
          <w:rFonts w:ascii="Times New Roman" w:hAnsi="Times New Roman"/>
        </w:rPr>
        <w:fldChar w:fldCharType="end"/>
      </w:r>
      <w:r w:rsidR="00190FA0" w:rsidRPr="00D3158E">
        <w:rPr>
          <w:rFonts w:ascii="Times New Roman" w:hAnsi="Times New Roman"/>
        </w:rPr>
        <w:t>.</w:t>
      </w:r>
      <w:r w:rsidR="00190FA0">
        <w:rPr>
          <w:rFonts w:ascii="Times New Roman" w:hAnsi="Times New Roman"/>
        </w:rPr>
        <w:t xml:space="preserve"> Also, people </w:t>
      </w:r>
      <w:r w:rsidR="00D90BF0">
        <w:rPr>
          <w:rFonts w:ascii="Times New Roman" w:hAnsi="Times New Roman"/>
        </w:rPr>
        <w:t>are</w:t>
      </w:r>
      <w:r w:rsidR="00190FA0">
        <w:rPr>
          <w:rFonts w:ascii="Times New Roman" w:hAnsi="Times New Roman"/>
        </w:rPr>
        <w:t xml:space="preserve"> more likely to purchase insurance when they </w:t>
      </w:r>
      <w:r w:rsidR="00DF1A88">
        <w:rPr>
          <w:rFonts w:ascii="Times New Roman" w:hAnsi="Times New Roman"/>
        </w:rPr>
        <w:t>are</w:t>
      </w:r>
      <w:r w:rsidR="00190FA0">
        <w:rPr>
          <w:rFonts w:ascii="Times New Roman" w:hAnsi="Times New Roman"/>
        </w:rPr>
        <w:t xml:space="preserve"> presented with the cumulative risk compared to individual repeated risks</w:t>
      </w:r>
      <w:r w:rsidR="00A11BEB">
        <w:rPr>
          <w:rFonts w:ascii="Times New Roman" w:hAnsi="Times New Roman"/>
        </w:rPr>
        <w:t xml:space="preserve"> </w:t>
      </w:r>
      <w:r w:rsidR="00A11BEB">
        <w:rPr>
          <w:rFonts w:ascii="Times New Roman" w:hAnsi="Times New Roman"/>
        </w:rPr>
        <w:fldChar w:fldCharType="begin"/>
      </w:r>
      <w:r w:rsidR="00A11BEB">
        <w:rPr>
          <w:rFonts w:ascii="Times New Roman" w:hAnsi="Times New Roman"/>
        </w:rPr>
        <w:instrText xml:space="preserve"> ADDIN EN.CITE &lt;EndNote&gt;&lt;Cite&gt;&lt;Author&gt;Chaudhry&lt;/Author&gt;&lt;Year&gt;2020&lt;/Year&gt;&lt;IDText&gt;Broad bracketing for low probability events&lt;/IDText&gt;&lt;DisplayText&gt;(Chaudhry, Hand, &amp;amp; Kunreuther, 2020)&lt;/DisplayText&gt;&lt;record&gt;&lt;titles&gt;&lt;title&gt;Broad bracketing for low probability events&lt;/title&gt;&lt;secondary-title&gt;NBER Working Paper&lt;/secondary-title&gt;&lt;/titles&gt;&lt;number&gt;w27319&lt;/number&gt;&lt;contributors&gt;&lt;authors&gt;&lt;author&gt;Chaudhry, Shereen&lt;/author&gt;&lt;author&gt;Hand, Michael&lt;/author&gt;&lt;author&gt;Kunreuther, Howard&lt;/author&gt;&lt;/authors&gt;&lt;/contributors&gt;&lt;added-date format="utc"&gt;1597292341&lt;/added-date&gt;&lt;ref-type name="Journal Article"&gt;17&lt;/ref-type&gt;&lt;dates&gt;&lt;year&gt;2020&lt;/year&gt;&lt;/dates&gt;&lt;rec-number&gt;646&lt;/rec-number&gt;&lt;last-updated-date format="utc"&gt;1597292341&lt;/last-updated-date&gt;&lt;/record&gt;&lt;/Cite&gt;&lt;/EndNote&gt;</w:instrText>
      </w:r>
      <w:r w:rsidR="00A11BEB">
        <w:rPr>
          <w:rFonts w:ascii="Times New Roman" w:hAnsi="Times New Roman"/>
        </w:rPr>
        <w:fldChar w:fldCharType="separate"/>
      </w:r>
      <w:r w:rsidR="00A11BEB">
        <w:rPr>
          <w:rFonts w:ascii="Times New Roman" w:hAnsi="Times New Roman"/>
          <w:noProof/>
        </w:rPr>
        <w:t>(Chaudhry, Hand, &amp; Kunreuther, 2020)</w:t>
      </w:r>
      <w:r w:rsidR="00A11BEB">
        <w:rPr>
          <w:rFonts w:ascii="Times New Roman" w:hAnsi="Times New Roman"/>
        </w:rPr>
        <w:fldChar w:fldCharType="end"/>
      </w:r>
      <w:r w:rsidR="00190FA0">
        <w:rPr>
          <w:rFonts w:ascii="Times New Roman" w:hAnsi="Times New Roman"/>
        </w:rPr>
        <w:t>.</w:t>
      </w:r>
      <w:r w:rsidR="00B362CE">
        <w:rPr>
          <w:rFonts w:ascii="Times New Roman" w:hAnsi="Times New Roman"/>
        </w:rPr>
        <w:t xml:space="preserve"> </w:t>
      </w:r>
      <w:r w:rsidR="00EE63FD">
        <w:rPr>
          <w:rFonts w:ascii="Times New Roman" w:hAnsi="Times New Roman"/>
        </w:rPr>
        <w:t>More broadly, providing cumulative risk distributions appears to lead to more optima</w:t>
      </w:r>
      <w:r w:rsidR="00723BEB">
        <w:rPr>
          <w:rFonts w:ascii="Times New Roman" w:hAnsi="Times New Roman"/>
        </w:rPr>
        <w:t>l</w:t>
      </w:r>
      <w:r w:rsidR="00EE63FD">
        <w:rPr>
          <w:rFonts w:ascii="Times New Roman" w:hAnsi="Times New Roman"/>
        </w:rPr>
        <w:t xml:space="preserve"> risk preferences across all risk types, including negative EV and pure-loss gambles </w:t>
      </w:r>
      <w:r w:rsidR="00EE63FD">
        <w:rPr>
          <w:rFonts w:ascii="Times New Roman" w:hAnsi="Times New Roman"/>
        </w:rPr>
        <w:fldChar w:fldCharType="begin"/>
      </w:r>
      <w:r w:rsidR="00EE63FD">
        <w:rPr>
          <w:rFonts w:ascii="Times New Roman" w:hAnsi="Times New Roman"/>
        </w:rPr>
        <w:instrText xml:space="preserve"> ADDIN EN.CITE &lt;EndNote&gt;&lt;Cite&gt;&lt;Author&gt;Webb&lt;/Author&gt;&lt;Year&gt;2017&lt;/Year&gt;&lt;IDText&gt;Is broad bracketing always better? How broad decision framing leads to more optimal preferences over repeated gambles&lt;/IDText&gt;&lt;DisplayText&gt;(Webb &amp;amp; Data, 2017)&lt;/DisplayText&gt;&lt;record&gt;&lt;isbn&gt;1930-2975&lt;/isbn&gt;&lt;titles&gt;&lt;title&gt;Is broad bracketing always better? How broad decision framing leads to more optimal preferences over repeated gambles&lt;/title&gt;&lt;secondary-title&gt;Judgment and Decision Making&lt;/secondary-title&gt;&lt;/titles&gt;&lt;pages&gt;382&lt;/pages&gt;&lt;number&gt;4&lt;/number&gt;&lt;contributors&gt;&lt;authors&gt;&lt;author&gt;Webb, Elizabeth C&lt;/author&gt;&lt;author&gt;Data, Suzanne B Shu&lt;/author&gt;&lt;/authors&gt;&lt;/contributors&gt;&lt;added-date format="utc"&gt;1597293005&lt;/added-date&gt;&lt;ref-type name="Journal Article"&gt;17&lt;/ref-type&gt;&lt;dates&gt;&lt;year&gt;2017&lt;/year&gt;&lt;/dates&gt;&lt;rec-number&gt;648&lt;/rec-number&gt;&lt;last-updated-date format="utc"&gt;1597293005&lt;/last-updated-date&gt;&lt;volume&gt;12&lt;/volume&gt;&lt;/record&gt;&lt;/Cite&gt;&lt;/EndNote&gt;</w:instrText>
      </w:r>
      <w:r w:rsidR="00EE63FD">
        <w:rPr>
          <w:rFonts w:ascii="Times New Roman" w:hAnsi="Times New Roman"/>
        </w:rPr>
        <w:fldChar w:fldCharType="separate"/>
      </w:r>
      <w:r w:rsidR="00EE63FD">
        <w:rPr>
          <w:rFonts w:ascii="Times New Roman" w:hAnsi="Times New Roman"/>
          <w:noProof/>
        </w:rPr>
        <w:t>(Webb &amp; Data, 2017)</w:t>
      </w:r>
      <w:r w:rsidR="00EE63FD">
        <w:rPr>
          <w:rFonts w:ascii="Times New Roman" w:hAnsi="Times New Roman"/>
        </w:rPr>
        <w:fldChar w:fldCharType="end"/>
      </w:r>
      <w:r w:rsidR="00EE63FD">
        <w:rPr>
          <w:rFonts w:ascii="Times New Roman" w:hAnsi="Times New Roman"/>
        </w:rPr>
        <w:t>.</w:t>
      </w:r>
      <w:r w:rsidR="003371AA">
        <w:rPr>
          <w:rFonts w:ascii="Times New Roman" w:hAnsi="Times New Roman"/>
        </w:rPr>
        <w:t xml:space="preserve"> In </w:t>
      </w:r>
      <w:r w:rsidR="003371AA">
        <w:rPr>
          <w:rFonts w:ascii="Times New Roman" w:hAnsi="Times New Roman"/>
        </w:rPr>
        <w:lastRenderedPageBreak/>
        <w:t xml:space="preserve">summary, </w:t>
      </w:r>
      <w:r w:rsidR="008429B7">
        <w:rPr>
          <w:rFonts w:ascii="Times New Roman" w:hAnsi="Times New Roman"/>
        </w:rPr>
        <w:t xml:space="preserve">broad framing of probabilities (by the choice architect) leads to safer and smarter choices. </w:t>
      </w:r>
      <w:r w:rsidR="00A5200A">
        <w:rPr>
          <w:rFonts w:ascii="Times New Roman" w:hAnsi="Times New Roman"/>
        </w:rPr>
        <w:t>However, in all of these cases, the objective cumulative probabilities have been explicitly provided to participants, and it is unclear whether precommitment affects subjective, implicit judgments of probability. It seems plausible that precommitment would increase the subjective probability of rare events (“</w:t>
      </w:r>
      <w:proofErr w:type="spellStart"/>
      <w:r w:rsidR="00A5200A">
        <w:rPr>
          <w:rFonts w:ascii="Times New Roman" w:hAnsi="Times New Roman"/>
        </w:rPr>
        <w:t>its</w:t>
      </w:r>
      <w:proofErr w:type="spellEnd"/>
      <w:r w:rsidR="00A5200A">
        <w:rPr>
          <w:rFonts w:ascii="Times New Roman" w:hAnsi="Times New Roman"/>
        </w:rPr>
        <w:t xml:space="preserve"> bound to happen sooner or later”)</w:t>
      </w:r>
      <w:r w:rsidR="00635D8F">
        <w:rPr>
          <w:rFonts w:ascii="Times New Roman" w:hAnsi="Times New Roman"/>
        </w:rPr>
        <w:t xml:space="preserve"> in a similar manner. </w:t>
      </w:r>
    </w:p>
    <w:p w14:paraId="5A174278" w14:textId="1068FF6A" w:rsidR="00981EED" w:rsidRPr="00981EED" w:rsidRDefault="008429B7" w:rsidP="00981EED">
      <w:pPr>
        <w:spacing w:line="480" w:lineRule="auto"/>
        <w:ind w:firstLine="720"/>
        <w:rPr>
          <w:rFonts w:ascii="Times New Roman" w:hAnsi="Times New Roman"/>
        </w:rPr>
      </w:pPr>
      <w:r>
        <w:rPr>
          <w:rFonts w:ascii="Times New Roman" w:hAnsi="Times New Roman"/>
        </w:rPr>
        <w:t xml:space="preserve">A third finding is that broad bracketing leads to a preference for choice diversification </w:t>
      </w:r>
      <w:r>
        <w:rPr>
          <w:rFonts w:ascii="Times New Roman" w:hAnsi="Times New Roman"/>
        </w:rPr>
        <w:fldChar w:fldCharType="begin"/>
      </w:r>
      <w:r>
        <w:rPr>
          <w:rFonts w:ascii="Times New Roman" w:hAnsi="Times New Roman"/>
        </w:rPr>
        <w:instrText xml:space="preserve"> ADDIN EN.CITE &lt;EndNote&gt;&lt;Cite&gt;&lt;Author&gt;Read&lt;/Author&gt;&lt;Year&gt;1995&lt;/Year&gt;&lt;IDText&gt;Diversification bias: Explaining the discrepancy in variety seeking between combined and separated choices&lt;/IDText&gt;&lt;DisplayText&gt;(Fox, Ratner, &amp;amp; Lieb, 2005; Read &amp;amp; Loewenstein, 1995)&lt;/DisplayText&gt;&lt;record&gt;&lt;isbn&gt;1939-2192&lt;/isbn&gt;&lt;titles&gt;&lt;title&gt;Diversification bias: Explaining the discrepancy in variety seeking between combined and separated choices&lt;/title&gt;&lt;secondary-title&gt;Journal of Experimental Psychology: Applied&lt;/secondary-title&gt;&lt;/titles&gt;&lt;pages&gt;34&lt;/pages&gt;&lt;number&gt;1&lt;/number&gt;&lt;contributors&gt;&lt;authors&gt;&lt;author&gt;Read, Daniel&lt;/author&gt;&lt;author&gt;Loewenstein, George&lt;/author&gt;&lt;/authors&gt;&lt;/contributors&gt;&lt;added-date format="utc"&gt;1597352817&lt;/added-date&gt;&lt;ref-type name="Journal Article"&gt;17&lt;/ref-type&gt;&lt;dates&gt;&lt;year&gt;1995&lt;/year&gt;&lt;/dates&gt;&lt;rec-number&gt;649&lt;/rec-number&gt;&lt;last-updated-date format="utc"&gt;1597352817&lt;/last-updated-date&gt;&lt;volume&gt;1&lt;/volume&gt;&lt;/record&gt;&lt;/Cite&gt;&lt;Cite&gt;&lt;Author&gt;Fox&lt;/Author&gt;&lt;Year&gt;2005&lt;/Year&gt;&lt;IDText&gt;How subjective grouping of options influences choice and allocation: diversification bias and the phenomenon of partition dependence&lt;/IDText&gt;&lt;record&gt;&lt;isbn&gt;1939-2222&lt;/isbn&gt;&lt;titles&gt;&lt;title&gt;How subjective grouping of options influences choice and allocation: diversification bias and the phenomenon of partition dependence&lt;/title&gt;&lt;secondary-title&gt;Journal of Experimental Psychology: General&lt;/secondary-title&gt;&lt;/titles&gt;&lt;pages&gt;538&lt;/pages&gt;&lt;number&gt;4&lt;/number&gt;&lt;contributors&gt;&lt;authors&gt;&lt;author&gt;Fox, Craig R&lt;/author&gt;&lt;author&gt;Ratner, Rebecca K&lt;/author&gt;&lt;author&gt;Lieb, Daniel S&lt;/author&gt;&lt;/authors&gt;&lt;/contributors&gt;&lt;added-date format="utc"&gt;1597352825&lt;/added-date&gt;&lt;ref-type name="Journal Article"&gt;17&lt;/ref-type&gt;&lt;dates&gt;&lt;year&gt;2005&lt;/year&gt;&lt;/dates&gt;&lt;rec-number&gt;650&lt;/rec-number&gt;&lt;last-updated-date format="utc"&gt;1597352825&lt;/last-updated-date&gt;&lt;volume&gt;134&lt;/volume&gt;&lt;/record&gt;&lt;/Cite&gt;&lt;/EndNote&gt;</w:instrText>
      </w:r>
      <w:r>
        <w:rPr>
          <w:rFonts w:ascii="Times New Roman" w:hAnsi="Times New Roman"/>
        </w:rPr>
        <w:fldChar w:fldCharType="separate"/>
      </w:r>
      <w:r>
        <w:rPr>
          <w:rFonts w:ascii="Times New Roman" w:hAnsi="Times New Roman"/>
          <w:noProof/>
        </w:rPr>
        <w:t>(Fox, Ratner, &amp; Lieb, 2005; Read &amp; Loewenstein, 1995)</w:t>
      </w:r>
      <w:r>
        <w:rPr>
          <w:rFonts w:ascii="Times New Roman" w:hAnsi="Times New Roman"/>
        </w:rPr>
        <w:fldChar w:fldCharType="end"/>
      </w:r>
      <w:r>
        <w:rPr>
          <w:rFonts w:ascii="Times New Roman" w:hAnsi="Times New Roman"/>
        </w:rPr>
        <w:t>. For example, when buying seven yogurts for the next week, someone might choose seven different flavors</w:t>
      </w:r>
      <w:r w:rsidR="007A7AB8">
        <w:rPr>
          <w:rFonts w:ascii="Times New Roman" w:hAnsi="Times New Roman"/>
        </w:rPr>
        <w:t xml:space="preserve"> (strawberry, blackberry, key lime, etc.)</w:t>
      </w:r>
      <w:r>
        <w:rPr>
          <w:rFonts w:ascii="Times New Roman" w:hAnsi="Times New Roman"/>
        </w:rPr>
        <w:t xml:space="preserve">, yet when buying yogurt one day at a time, the same person might choose </w:t>
      </w:r>
      <w:r w:rsidR="007A7AB8">
        <w:rPr>
          <w:rFonts w:ascii="Times New Roman" w:hAnsi="Times New Roman"/>
        </w:rPr>
        <w:t xml:space="preserve">their favorite flavor (strawberry of course) all seven times. </w:t>
      </w:r>
      <w:r w:rsidR="00FC44B1">
        <w:rPr>
          <w:rFonts w:ascii="Times New Roman" w:hAnsi="Times New Roman"/>
        </w:rPr>
        <w:t>In financial decision making, this can manifest as an “equal allocation” or “1/</w:t>
      </w:r>
      <w:r w:rsidR="00FC44B1" w:rsidRPr="00FC44B1">
        <w:rPr>
          <w:rFonts w:ascii="Times New Roman" w:hAnsi="Times New Roman"/>
          <w:i/>
          <w:iCs/>
        </w:rPr>
        <w:t>n</w:t>
      </w:r>
      <w:r w:rsidR="00FC44B1">
        <w:rPr>
          <w:rFonts w:ascii="Times New Roman" w:hAnsi="Times New Roman"/>
        </w:rPr>
        <w:t xml:space="preserve">” heuristic, where people invest equal amounts in all portfolio options </w:t>
      </w:r>
      <w:r w:rsidR="00FC44B1">
        <w:rPr>
          <w:rFonts w:ascii="Times New Roman" w:hAnsi="Times New Roman"/>
        </w:rPr>
        <w:fldChar w:fldCharType="begin"/>
      </w:r>
      <w:r w:rsidR="00FC44B1">
        <w:rPr>
          <w:rFonts w:ascii="Times New Roman" w:hAnsi="Times New Roman"/>
        </w:rPr>
        <w:instrText xml:space="preserve"> ADDIN EN.CITE &lt;EndNote&gt;&lt;Cite&gt;&lt;Author&gt;Morrin&lt;/Author&gt;&lt;Year&gt;2012&lt;/Year&gt;&lt;IDText&gt;Investing for retirement: The moderating effect of fund assortment size on the 1/n heuristic&lt;/IDText&gt;&lt;DisplayText&gt;(Morrin, Inman, Broniarczyk, Nenkov, &amp;amp; Reuter, 2012)&lt;/DisplayText&gt;&lt;record&gt;&lt;isbn&gt;0022-2437&lt;/isbn&gt;&lt;titles&gt;&lt;title&gt;Investing for retirement: The moderating effect of fund assortment size on the 1/n heuristic&lt;/title&gt;&lt;secondary-title&gt;Journal of Marketing Research&lt;/secondary-title&gt;&lt;/titles&gt;&lt;pages&gt;537-550&lt;/pages&gt;&lt;number&gt;4&lt;/number&gt;&lt;contributors&gt;&lt;authors&gt;&lt;author&gt;Morrin, Maureen&lt;/author&gt;&lt;author&gt;Inman, J Jeffrey&lt;/author&gt;&lt;author&gt;Broniarczyk, Susan M&lt;/author&gt;&lt;author&gt;Nenkov, Gergana Y&lt;/author&gt;&lt;author&gt;Reuter, Jonathan&lt;/author&gt;&lt;/authors&gt;&lt;/contributors&gt;&lt;added-date format="utc"&gt;1597353366&lt;/added-date&gt;&lt;ref-type name="Journal Article"&gt;17&lt;/ref-type&gt;&lt;dates&gt;&lt;year&gt;2012&lt;/year&gt;&lt;/dates&gt;&lt;rec-number&gt;651&lt;/rec-number&gt;&lt;last-updated-date format="utc"&gt;1597353366&lt;/last-updated-date&gt;&lt;volume&gt;49&lt;/volume&gt;&lt;/record&gt;&lt;/Cite&gt;&lt;/EndNote&gt;</w:instrText>
      </w:r>
      <w:r w:rsidR="00FC44B1">
        <w:rPr>
          <w:rFonts w:ascii="Times New Roman" w:hAnsi="Times New Roman"/>
        </w:rPr>
        <w:fldChar w:fldCharType="separate"/>
      </w:r>
      <w:r w:rsidR="00FC44B1">
        <w:rPr>
          <w:rFonts w:ascii="Times New Roman" w:hAnsi="Times New Roman"/>
          <w:noProof/>
        </w:rPr>
        <w:t>(Morrin, Inman, Broniarczyk, Nenkov, &amp; Reuter, 2012)</w:t>
      </w:r>
      <w:r w:rsidR="00FC44B1">
        <w:rPr>
          <w:rFonts w:ascii="Times New Roman" w:hAnsi="Times New Roman"/>
        </w:rPr>
        <w:fldChar w:fldCharType="end"/>
      </w:r>
      <w:r w:rsidR="00FC44B1">
        <w:rPr>
          <w:rFonts w:ascii="Times New Roman" w:hAnsi="Times New Roman"/>
        </w:rPr>
        <w:t xml:space="preserve">.  </w:t>
      </w:r>
      <w:r w:rsidR="00981EED">
        <w:rPr>
          <w:rFonts w:ascii="Times New Roman" w:hAnsi="Times New Roman"/>
        </w:rPr>
        <w:t xml:space="preserve">To the extent that precommitment induces broad bracketing and a diversification preference, it should move choice proportions toward 50%; if safe choices are rare (i.e., less than 50% at baseline), diversification tendencies should increase safe choices, and if safe choices are common (i.e., greater than 50% at baseline), diversification should decrease safe choices. </w:t>
      </w:r>
    </w:p>
    <w:p w14:paraId="5CBD5648" w14:textId="4189C194" w:rsidR="00010F3D" w:rsidRPr="002C2177" w:rsidRDefault="001B6981" w:rsidP="00B256F0">
      <w:pPr>
        <w:spacing w:line="480" w:lineRule="auto"/>
        <w:ind w:firstLine="720"/>
        <w:rPr>
          <w:rFonts w:ascii="Times New Roman" w:hAnsi="Times New Roman"/>
          <w:i/>
          <w:iCs/>
        </w:rPr>
      </w:pPr>
      <w:r w:rsidRPr="002C2177">
        <w:rPr>
          <w:rFonts w:ascii="Times New Roman" w:hAnsi="Times New Roman"/>
          <w:i/>
          <w:iCs/>
        </w:rPr>
        <w:t>Social dilemmas</w:t>
      </w:r>
      <w:r w:rsidR="00BC7B81" w:rsidRPr="002C2177">
        <w:rPr>
          <w:rFonts w:ascii="Times New Roman" w:hAnsi="Times New Roman"/>
          <w:i/>
          <w:iCs/>
        </w:rPr>
        <w:t xml:space="preserve"> under uncertainty</w:t>
      </w:r>
    </w:p>
    <w:p w14:paraId="3417FB9F" w14:textId="17ED2295" w:rsidR="00EE4AAE" w:rsidRDefault="00EE4AAE" w:rsidP="00EE4AAE">
      <w:pPr>
        <w:spacing w:line="480" w:lineRule="auto"/>
        <w:ind w:firstLine="720"/>
        <w:rPr>
          <w:rFonts w:ascii="Times New Roman" w:hAnsi="Times New Roman"/>
        </w:rPr>
      </w:pPr>
      <w:r w:rsidRPr="009B434A">
        <w:rPr>
          <w:rFonts w:ascii="Times New Roman" w:hAnsi="Times New Roman"/>
        </w:rPr>
        <w:t>In social dilemmas</w:t>
      </w:r>
      <w:r>
        <w:rPr>
          <w:rFonts w:ascii="Times New Roman" w:hAnsi="Times New Roman"/>
        </w:rPr>
        <w:t xml:space="preserve"> (most famously, the “prisoners dilemma”)</w:t>
      </w:r>
      <w:r w:rsidRPr="009B434A">
        <w:rPr>
          <w:rFonts w:ascii="Times New Roman" w:hAnsi="Times New Roman"/>
        </w:rPr>
        <w:t xml:space="preserve">, individuals are incentivized to put their (short-term) self-interest </w:t>
      </w:r>
      <w:r w:rsidRPr="00D26725">
        <w:rPr>
          <w:rFonts w:ascii="Times New Roman" w:hAnsi="Times New Roman"/>
          <w:noProof/>
        </w:rPr>
        <w:t>over</w:t>
      </w:r>
      <w:r w:rsidRPr="009B434A">
        <w:rPr>
          <w:rFonts w:ascii="Times New Roman" w:hAnsi="Times New Roman"/>
        </w:rPr>
        <w:t xml:space="preserve"> the collective benefit and therefore act non-cooperatively.</w:t>
      </w:r>
      <w:r w:rsidRPr="002208A3">
        <w:rPr>
          <w:rFonts w:ascii="Times New Roman" w:hAnsi="Times New Roman"/>
        </w:rPr>
        <w:t xml:space="preserve"> </w:t>
      </w:r>
      <w:r>
        <w:rPr>
          <w:rFonts w:ascii="Times New Roman" w:hAnsi="Times New Roman"/>
        </w:rPr>
        <w:t>In the present research, we build on the literature</w:t>
      </w:r>
      <w:r w:rsidRPr="002208A3">
        <w:rPr>
          <w:rFonts w:ascii="Times New Roman" w:hAnsi="Times New Roman"/>
        </w:rPr>
        <w:t xml:space="preserve"> on interdependent security (IDS)</w:t>
      </w:r>
      <w:r>
        <w:rPr>
          <w:rFonts w:ascii="Times New Roman" w:hAnsi="Times New Roman"/>
        </w:rPr>
        <w:t xml:space="preserve"> dilemmas, one specific type of social dilemma,</w:t>
      </w:r>
      <w:r w:rsidRPr="002208A3">
        <w:rPr>
          <w:rFonts w:ascii="Times New Roman" w:hAnsi="Times New Roman"/>
        </w:rPr>
        <w:t xml:space="preserve"> </w:t>
      </w:r>
      <w:r>
        <w:rPr>
          <w:rFonts w:ascii="Times New Roman" w:hAnsi="Times New Roman"/>
        </w:rPr>
        <w:t xml:space="preserve">which </w:t>
      </w:r>
      <w:r w:rsidRPr="002208A3">
        <w:rPr>
          <w:rFonts w:ascii="Times New Roman" w:hAnsi="Times New Roman"/>
        </w:rPr>
        <w:lastRenderedPageBreak/>
        <w:t xml:space="preserve">explores the effects of outcome uncertainty on cooperation </w:t>
      </w:r>
      <w:r w:rsidRPr="002208A3">
        <w:rPr>
          <w:rFonts w:ascii="Times New Roman" w:hAnsi="Times New Roman"/>
        </w:rPr>
        <w:fldChar w:fldCharType="begin"/>
      </w:r>
      <w:r>
        <w:rPr>
          <w:rFonts w:ascii="Times New Roman" w:hAnsi="Times New Roman"/>
        </w:rPr>
        <w:instrText xml:space="preserve"> ADDIN EN.CITE &lt;EndNote&gt;&lt;Cite&gt;&lt;Author&gt;Heal&lt;/Author&gt;&lt;Year&gt;2005&lt;/Year&gt;&lt;RecNum&gt;143&lt;/RecNum&gt;&lt;DisplayText&gt;(Heal &amp;amp; Kunreuther, 2005)&lt;/DisplayText&gt;&lt;record&gt;&lt;rec-number&gt;143&lt;/rec-number&gt;&lt;foreign-keys&gt;&lt;key app="EN" db-id="ps05de90q9zfz1eprrsxd9entrap2v5x99e0" timestamp="0"&gt;143&lt;/key&gt;&lt;/foreign-keys&gt;&lt;ref-type name="Journal Article"&gt;17&lt;/ref-type&gt;&lt;contributors&gt;&lt;authors&gt;&lt;author&gt;Heal, Geoffrey&lt;/author&gt;&lt;author&gt;Kunreuther, Howard C.&lt;/author&gt;&lt;/authors&gt;&lt;/contributors&gt;&lt;titles&gt;&lt;title&gt;IDS Models of Airline Security&lt;/title&gt;&lt;secondary-title&gt;Journal of Conflict Resolution&lt;/secondary-title&gt;&lt;/titles&gt;&lt;periodical&gt;&lt;full-title&gt;Journal of Conflict Resolution&lt;/full-title&gt;&lt;/periodical&gt;&lt;pages&gt;201-217&lt;/pages&gt;&lt;volume&gt;49&lt;/volume&gt;&lt;number&gt;2&lt;/number&gt;&lt;dates&gt;&lt;year&gt;2005&lt;/year&gt;&lt;/dates&gt;&lt;urls&gt;&lt;/urls&gt;&lt;electronic-resource-num&gt;10.1177/0022002704272833&lt;/electronic-resource-num&gt;&lt;/record&gt;&lt;/Cite&gt;&lt;/EndNote&gt;</w:instrText>
      </w:r>
      <w:r w:rsidRPr="002208A3">
        <w:rPr>
          <w:rFonts w:ascii="Times New Roman" w:hAnsi="Times New Roman"/>
        </w:rPr>
        <w:fldChar w:fldCharType="separate"/>
      </w:r>
      <w:r>
        <w:rPr>
          <w:rFonts w:ascii="Times New Roman" w:hAnsi="Times New Roman"/>
          <w:noProof/>
        </w:rPr>
        <w:t>(Heal &amp; Kunreuther, 2005)</w:t>
      </w:r>
      <w:r w:rsidRPr="002208A3">
        <w:rPr>
          <w:rFonts w:ascii="Times New Roman" w:hAnsi="Times New Roman"/>
        </w:rPr>
        <w:fldChar w:fldCharType="end"/>
      </w:r>
      <w:r w:rsidRPr="002208A3">
        <w:rPr>
          <w:rFonts w:ascii="Times New Roman" w:hAnsi="Times New Roman"/>
        </w:rPr>
        <w:t xml:space="preserve">, particularly in cases of possible catastrophic loss. </w:t>
      </w:r>
      <w:r>
        <w:rPr>
          <w:rFonts w:ascii="Times New Roman" w:hAnsi="Times New Roman"/>
        </w:rPr>
        <w:t xml:space="preserve">Real-life examples of IDS dilemmas include pandemics, </w:t>
      </w:r>
      <w:r w:rsidRPr="004573FA">
        <w:rPr>
          <w:rFonts w:ascii="Times New Roman" w:hAnsi="Times New Roman"/>
        </w:rPr>
        <w:t>computer security, fire protection, protection against bankruptcy, and theft protection</w:t>
      </w:r>
      <w:r>
        <w:rPr>
          <w:rFonts w:ascii="Times New Roman" w:hAnsi="Times New Roman"/>
        </w:rPr>
        <w:t xml:space="preserve">. </w:t>
      </w:r>
      <w:r w:rsidRPr="002208A3">
        <w:rPr>
          <w:rFonts w:ascii="Times New Roman" w:hAnsi="Times New Roman"/>
        </w:rPr>
        <w:t xml:space="preserve">In </w:t>
      </w:r>
      <w:r>
        <w:rPr>
          <w:rFonts w:ascii="Times New Roman" w:hAnsi="Times New Roman"/>
        </w:rPr>
        <w:t xml:space="preserve">each </w:t>
      </w:r>
      <w:r w:rsidR="00723BEB">
        <w:rPr>
          <w:rFonts w:ascii="Times New Roman" w:hAnsi="Times New Roman"/>
        </w:rPr>
        <w:t xml:space="preserve">of </w:t>
      </w:r>
      <w:r w:rsidRPr="002208A3">
        <w:rPr>
          <w:rFonts w:ascii="Times New Roman" w:hAnsi="Times New Roman"/>
        </w:rPr>
        <w:t>these cases, cooperation is manifested through investing in protection measures, which have some spillover and reduce the chance that counterparts will experience a loss. Overall, uncertainty about losses lowers cooperation between individuals quite substantially. For example, while cooperation rates in a loss-framed</w:t>
      </w:r>
      <w:r>
        <w:rPr>
          <w:rFonts w:ascii="Times New Roman" w:hAnsi="Times New Roman"/>
        </w:rPr>
        <w:t>,</w:t>
      </w:r>
      <w:r w:rsidRPr="002208A3">
        <w:rPr>
          <w:rFonts w:ascii="Times New Roman" w:hAnsi="Times New Roman"/>
        </w:rPr>
        <w:t xml:space="preserve"> </w:t>
      </w:r>
      <w:r>
        <w:rPr>
          <w:rFonts w:ascii="Times New Roman" w:hAnsi="Times New Roman"/>
        </w:rPr>
        <w:t>repeated</w:t>
      </w:r>
      <w:r w:rsidRPr="002208A3">
        <w:rPr>
          <w:rFonts w:ascii="Times New Roman" w:hAnsi="Times New Roman"/>
        </w:rPr>
        <w:t xml:space="preserve"> prisoner's dilemma (PD) may hover around 60-75%, uncertainty lowers the cooperation rate to around 25-40% </w:t>
      </w:r>
      <w:r w:rsidRPr="002208A3">
        <w:rPr>
          <w:rFonts w:ascii="Times New Roman" w:hAnsi="Times New Roman"/>
        </w:rPr>
        <w:fldChar w:fldCharType="begin"/>
      </w:r>
      <w:r>
        <w:rPr>
          <w:rFonts w:ascii="Times New Roman" w:hAnsi="Times New Roman"/>
        </w:rPr>
        <w:instrText xml:space="preserve"> ADDIN EN.CITE &lt;EndNote&gt;&lt;Cite&gt;&lt;Author&gt;Gong&lt;/Author&gt;&lt;Year&gt;2009&lt;/Year&gt;&lt;RecNum&gt;139&lt;/RecNum&gt;&lt;DisplayText&gt;(Gong, Baron, &amp;amp; Kunreuther, 2009; Kunreuther, Silvasi, Bradlow, &amp;amp; Small, 2009)&lt;/DisplayText&gt;&lt;record&gt;&lt;rec-number&gt;139&lt;/rec-number&gt;&lt;foreign-keys&gt;&lt;key app="EN" db-id="ps05de90q9zfz1eprrsxd9entrap2v5x99e0" timestamp="0"&gt;139&lt;/key&gt;&lt;/foreign-keys&gt;&lt;ref-type name="Journal Article"&gt;17&lt;/ref-type&gt;&lt;contributors&gt;&lt;authors&gt;&lt;author&gt;Gong, Min&lt;/author&gt;&lt;author&gt;Baron, Jonathan&lt;/author&gt;&lt;author&gt;Kunreuther, Howard C.&lt;/author&gt;&lt;/authors&gt;&lt;/contributors&gt;&lt;titles&gt;&lt;title&gt;Group cooperation under uncertainty&lt;/title&gt;&lt;secondary-title&gt;Journal of Risk &amp;amp; Uncertainty&lt;/secondary-title&gt;&lt;/titles&gt;&lt;pages&gt;251-270&lt;/pages&gt;&lt;volume&gt;39&lt;/volume&gt;&lt;dates&gt;&lt;year&gt;2009&lt;/year&gt;&lt;/dates&gt;&lt;urls&gt;&lt;/urls&gt;&lt;electronic-resource-num&gt;10.1007/s11166-009-9080-2&lt;/electronic-resource-num&gt;&lt;/record&gt;&lt;/Cite&gt;&lt;Cite&gt;&lt;Author&gt;Kunreuther&lt;/Author&gt;&lt;Year&gt;2009&lt;/Year&gt;&lt;RecNum&gt;138&lt;/RecNum&gt;&lt;record&gt;&lt;rec-number&gt;138&lt;/rec-number&gt;&lt;foreign-keys&gt;&lt;key app="EN" db-id="ps05de90q9zfz1eprrsxd9entrap2v5x99e0" timestamp="0"&gt;138&lt;/key&gt;&lt;/foreign-keys&gt;&lt;ref-type name="Journal Article"&gt;17&lt;/ref-type&gt;&lt;contributors&gt;&lt;authors&gt;&lt;author&gt;Kunreuther, Howard C.&lt;/author&gt;&lt;author&gt;Silvasi, Gabriel&lt;/author&gt;&lt;author&gt;Bradlow, Eric T.&lt;/author&gt;&lt;author&gt;Small, Dylan&lt;/author&gt;&lt;/authors&gt;&lt;/contributors&gt;&lt;titles&gt;&lt;title&gt;Bayesian analysis of deterministic and stochastic prisoner&amp;apos;s dilemma games&lt;/title&gt;&lt;secondary-title&gt;Judgment and Decision Making&lt;/secondary-title&gt;&lt;/titles&gt;&lt;periodical&gt;&lt;full-title&gt;Judgment and Decision Making&lt;/full-title&gt;&lt;/periodical&gt;&lt;pages&gt;363-384&lt;/pages&gt;&lt;volume&gt;4&lt;/volume&gt;&lt;number&gt;5&lt;/number&gt;&lt;dates&gt;&lt;year&gt;2009&lt;/year&gt;&lt;/dates&gt;&lt;urls&gt;&lt;/urls&gt;&lt;/record&gt;&lt;/Cite&gt;&lt;/EndNote&gt;</w:instrText>
      </w:r>
      <w:r w:rsidRPr="002208A3">
        <w:rPr>
          <w:rFonts w:ascii="Times New Roman" w:hAnsi="Times New Roman"/>
        </w:rPr>
        <w:fldChar w:fldCharType="separate"/>
      </w:r>
      <w:r>
        <w:rPr>
          <w:rFonts w:ascii="Times New Roman" w:hAnsi="Times New Roman"/>
          <w:noProof/>
        </w:rPr>
        <w:t>(Gong, Baron, &amp; Kunreuther, 2009; Kunreuther, Silvasi, Bradlow, &amp; Small, 2009)</w:t>
      </w:r>
      <w:r w:rsidRPr="002208A3">
        <w:rPr>
          <w:rFonts w:ascii="Times New Roman" w:hAnsi="Times New Roman"/>
        </w:rPr>
        <w:fldChar w:fldCharType="end"/>
      </w:r>
      <w:r w:rsidRPr="002208A3">
        <w:rPr>
          <w:rFonts w:ascii="Times New Roman" w:hAnsi="Times New Roman"/>
        </w:rPr>
        <w:t xml:space="preserve">. Thus, cooperation rates under uncertainty are up to </w:t>
      </w:r>
      <w:r w:rsidR="00BC0D0A">
        <w:rPr>
          <w:rFonts w:ascii="Times New Roman" w:hAnsi="Times New Roman"/>
        </w:rPr>
        <w:t>three</w:t>
      </w:r>
      <w:r w:rsidRPr="002208A3">
        <w:rPr>
          <w:rFonts w:ascii="Times New Roman" w:hAnsi="Times New Roman"/>
        </w:rPr>
        <w:t xml:space="preserve"> times lower. </w:t>
      </w:r>
      <w:r w:rsidR="00BC0D0A">
        <w:rPr>
          <w:rFonts w:ascii="Times New Roman" w:hAnsi="Times New Roman"/>
        </w:rPr>
        <w:t xml:space="preserve">The present research investigates whether precommitment may be used as an effective nudge to increase cooperation under uncertainty. </w:t>
      </w:r>
    </w:p>
    <w:p w14:paraId="650AD90B" w14:textId="1815B0BC" w:rsidR="00190F93" w:rsidRPr="005309CE" w:rsidRDefault="00190F93" w:rsidP="00EE4AAE">
      <w:pPr>
        <w:spacing w:line="480" w:lineRule="auto"/>
        <w:ind w:firstLine="720"/>
        <w:rPr>
          <w:rFonts w:ascii="Times New Roman" w:hAnsi="Times New Roman"/>
        </w:rPr>
      </w:pPr>
      <w:r>
        <w:rPr>
          <w:rFonts w:ascii="Times New Roman" w:hAnsi="Times New Roman"/>
        </w:rPr>
        <w:t xml:space="preserve">Based on prior literature, the </w:t>
      </w:r>
      <w:r w:rsidR="005309CE">
        <w:rPr>
          <w:rFonts w:ascii="Times New Roman" w:hAnsi="Times New Roman"/>
        </w:rPr>
        <w:t xml:space="preserve">predicted </w:t>
      </w:r>
      <w:r>
        <w:rPr>
          <w:rFonts w:ascii="Times New Roman" w:hAnsi="Times New Roman"/>
        </w:rPr>
        <w:t xml:space="preserve">effect of precommitment </w:t>
      </w:r>
      <w:r w:rsidR="005309CE">
        <w:rPr>
          <w:rFonts w:ascii="Times New Roman" w:hAnsi="Times New Roman"/>
        </w:rPr>
        <w:t xml:space="preserve">in IDS dilemmas is unclear. On the one hand, following the choice bracketing literature (described above), precommitment should lead to broad bracketing, a focus on aggregate outcomes and cumulative probability, and therefore lead to safer choices. However, precommitment also reduces the potential for interaction and feedback between players (e.g., reduces the opportunity for a “tit for tat” strategy), and thereby may </w:t>
      </w:r>
      <w:r w:rsidR="005309CE">
        <w:rPr>
          <w:rFonts w:ascii="Times New Roman" w:hAnsi="Times New Roman"/>
          <w:i/>
          <w:iCs/>
        </w:rPr>
        <w:t>reduce</w:t>
      </w:r>
      <w:r w:rsidR="005309CE">
        <w:rPr>
          <w:rFonts w:ascii="Times New Roman" w:hAnsi="Times New Roman"/>
        </w:rPr>
        <w:t xml:space="preserve"> cooperation; people don’t want to be a sucker. </w:t>
      </w:r>
      <w:r w:rsidR="008C2AAD">
        <w:rPr>
          <w:rFonts w:ascii="Times New Roman" w:hAnsi="Times New Roman"/>
        </w:rPr>
        <w:t xml:space="preserve">Therefore, precommitment might have a positive effect or a negative effect in IDS </w:t>
      </w:r>
      <w:r w:rsidR="00391911">
        <w:rPr>
          <w:rFonts w:ascii="Times New Roman" w:hAnsi="Times New Roman"/>
        </w:rPr>
        <w:t>situations</w:t>
      </w:r>
      <w:r w:rsidR="008C2AAD">
        <w:rPr>
          <w:rFonts w:ascii="Times New Roman" w:hAnsi="Times New Roman"/>
        </w:rPr>
        <w:t xml:space="preserve">. </w:t>
      </w:r>
    </w:p>
    <w:p w14:paraId="58CDBF95" w14:textId="77777777" w:rsidR="00B256F0" w:rsidRDefault="00B256F0" w:rsidP="002C2177">
      <w:pPr>
        <w:spacing w:line="480" w:lineRule="auto"/>
        <w:rPr>
          <w:rFonts w:ascii="Times New Roman" w:hAnsi="Times New Roman"/>
          <w:i/>
          <w:iCs/>
        </w:rPr>
      </w:pPr>
    </w:p>
    <w:p w14:paraId="77BDA5AC" w14:textId="271B2E58" w:rsidR="002C2177" w:rsidRPr="002C2177" w:rsidRDefault="002C2177" w:rsidP="002C2177">
      <w:pPr>
        <w:spacing w:line="480" w:lineRule="auto"/>
        <w:rPr>
          <w:rFonts w:ascii="Times New Roman" w:hAnsi="Times New Roman"/>
          <w:i/>
          <w:iCs/>
        </w:rPr>
      </w:pPr>
      <w:r w:rsidRPr="002C2177">
        <w:rPr>
          <w:rFonts w:ascii="Times New Roman" w:hAnsi="Times New Roman"/>
          <w:i/>
          <w:iCs/>
        </w:rPr>
        <w:t>The current research</w:t>
      </w:r>
    </w:p>
    <w:p w14:paraId="5199BBBA" w14:textId="7FCC4577" w:rsidR="00B256F0" w:rsidRPr="00B256F0" w:rsidRDefault="00B256F0" w:rsidP="002C2177">
      <w:pPr>
        <w:spacing w:line="480" w:lineRule="auto"/>
        <w:rPr>
          <w:rFonts w:ascii="Times New Roman" w:hAnsi="Times New Roman"/>
          <w:i/>
          <w:iCs/>
        </w:rPr>
      </w:pPr>
      <w:r>
        <w:rPr>
          <w:rFonts w:ascii="Times New Roman" w:hAnsi="Times New Roman"/>
        </w:rPr>
        <w:tab/>
      </w:r>
      <w:r w:rsidRPr="00B256F0">
        <w:rPr>
          <w:rFonts w:ascii="Times New Roman" w:hAnsi="Times New Roman"/>
          <w:i/>
          <w:iCs/>
        </w:rPr>
        <w:t>Overview</w:t>
      </w:r>
    </w:p>
    <w:p w14:paraId="1BA0F82C" w14:textId="2147BBB6" w:rsidR="009A13A4" w:rsidRDefault="00ED322A" w:rsidP="002C2177">
      <w:pPr>
        <w:spacing w:line="480" w:lineRule="auto"/>
        <w:rPr>
          <w:rFonts w:ascii="Times New Roman" w:hAnsi="Times New Roman"/>
        </w:rPr>
      </w:pPr>
      <w:r>
        <w:rPr>
          <w:rFonts w:ascii="Times New Roman" w:hAnsi="Times New Roman"/>
        </w:rPr>
        <w:lastRenderedPageBreak/>
        <w:tab/>
      </w:r>
      <w:r w:rsidR="00105C16">
        <w:rPr>
          <w:rFonts w:ascii="Times New Roman" w:hAnsi="Times New Roman"/>
        </w:rPr>
        <w:t xml:space="preserve">In the current research, we examine the effect of precommitment on repeated choices concerning low-probability, high-magnitude losses, in both individual decision-making, and in interdependent (IDS) decision making. </w:t>
      </w:r>
      <w:r w:rsidR="009A13A4">
        <w:rPr>
          <w:rFonts w:ascii="Times New Roman" w:hAnsi="Times New Roman"/>
        </w:rPr>
        <w:t xml:space="preserve">In the standard paradigm, participants make 80 choices, broken into 4 blocks of 20 choices each, and 1 block is paid out for real money (thus, each block is independent). For each choice, participants choose between -1,400Rp for sure, or a 4% chance of -40,000Rp. Thus, when considering a single choice, participants will most often earn more by taking the risk, but when considering multiple choices, the overall expected value is better from taking the certain loss (EV=-1,400) than the risky loss (EV=-1,600). </w:t>
      </w:r>
      <w:r w:rsidR="00270959">
        <w:rPr>
          <w:rFonts w:ascii="Times New Roman" w:hAnsi="Times New Roman"/>
        </w:rPr>
        <w:t xml:space="preserve">In our studies, some participants make choices one round at a time, some precommit choices at the beginning of each block for all 20 rounds, and some make non-binding precommitments, where they indicate their choices for all 20 rounds, but have the opportunity to change </w:t>
      </w:r>
      <w:r w:rsidR="00144209">
        <w:rPr>
          <w:rFonts w:ascii="Times New Roman" w:hAnsi="Times New Roman"/>
        </w:rPr>
        <w:t xml:space="preserve">their choices </w:t>
      </w:r>
      <w:r w:rsidR="00270959">
        <w:rPr>
          <w:rFonts w:ascii="Times New Roman" w:hAnsi="Times New Roman"/>
        </w:rPr>
        <w:t xml:space="preserve">after each round. </w:t>
      </w:r>
    </w:p>
    <w:p w14:paraId="751962DC" w14:textId="7C40A374" w:rsidR="00CD0155" w:rsidRDefault="005F5985" w:rsidP="00CD0155">
      <w:pPr>
        <w:spacing w:line="480" w:lineRule="auto"/>
        <w:ind w:firstLine="720"/>
        <w:rPr>
          <w:rFonts w:ascii="Times New Roman" w:hAnsi="Times New Roman"/>
        </w:rPr>
      </w:pPr>
      <w:r>
        <w:rPr>
          <w:rFonts w:ascii="Times New Roman" w:hAnsi="Times New Roman"/>
        </w:rPr>
        <w:t>What do we mean by “precommitment”? And why not use existing terms, such as “simultaneous choice” or simply “commitment”? The standard definition of “precommitment” is a commitment made in advance (</w:t>
      </w:r>
      <w:r w:rsidRPr="005F5985">
        <w:rPr>
          <w:rFonts w:ascii="Times New Roman" w:hAnsi="Times New Roman"/>
        </w:rPr>
        <w:t>https://www.merriam-webster.com/dictionary/precommitment</w:t>
      </w:r>
      <w:r>
        <w:rPr>
          <w:rFonts w:ascii="Times New Roman" w:hAnsi="Times New Roman"/>
        </w:rPr>
        <w:t xml:space="preserve">). </w:t>
      </w:r>
      <w:r w:rsidR="00911C48">
        <w:rPr>
          <w:rFonts w:ascii="Times New Roman" w:hAnsi="Times New Roman"/>
        </w:rPr>
        <w:t>In our scenarios, participants play out multiple rounds over time, and in the precommitment conditions they may choices in advance, which may or may not be binding (depending on the experimental set-up). Thus, unlike simultaneous choice, which is an instant choice of multiple options,</w:t>
      </w:r>
      <w:r w:rsidR="00814999">
        <w:rPr>
          <w:rFonts w:ascii="Times New Roman" w:hAnsi="Times New Roman"/>
        </w:rPr>
        <w:t xml:space="preserve"> or a simple commitment</w:t>
      </w:r>
      <w:r w:rsidR="00621C61">
        <w:rPr>
          <w:rFonts w:ascii="Times New Roman" w:hAnsi="Times New Roman"/>
        </w:rPr>
        <w:t>,</w:t>
      </w:r>
      <w:r w:rsidR="00911C48">
        <w:rPr>
          <w:rFonts w:ascii="Times New Roman" w:hAnsi="Times New Roman"/>
        </w:rPr>
        <w:t xml:space="preserve"> precommitment is an advance commitment to choices which may or may not be binding. </w:t>
      </w:r>
    </w:p>
    <w:p w14:paraId="56CBA482" w14:textId="3750EA34" w:rsidR="00CD0155" w:rsidRDefault="00CD0155" w:rsidP="00CD0155">
      <w:pPr>
        <w:spacing w:line="480" w:lineRule="auto"/>
        <w:ind w:firstLine="720"/>
        <w:rPr>
          <w:rFonts w:ascii="Times New Roman" w:hAnsi="Times New Roman"/>
        </w:rPr>
      </w:pPr>
      <w:r>
        <w:rPr>
          <w:rFonts w:ascii="Times New Roman" w:hAnsi="Times New Roman"/>
        </w:rPr>
        <w:lastRenderedPageBreak/>
        <w:t>Non-binding precommitment</w:t>
      </w:r>
      <w:r w:rsidR="00F5236B">
        <w:rPr>
          <w:rFonts w:ascii="Times New Roman" w:hAnsi="Times New Roman"/>
        </w:rPr>
        <w:t>,</w:t>
      </w:r>
      <w:r>
        <w:rPr>
          <w:rFonts w:ascii="Times New Roman" w:hAnsi="Times New Roman"/>
        </w:rPr>
        <w:t xml:space="preserve"> as</w:t>
      </w:r>
      <w:r w:rsidR="00723BEB">
        <w:rPr>
          <w:rFonts w:ascii="Times New Roman" w:hAnsi="Times New Roman"/>
        </w:rPr>
        <w:t xml:space="preserve"> a</w:t>
      </w:r>
      <w:r>
        <w:rPr>
          <w:rFonts w:ascii="Times New Roman" w:hAnsi="Times New Roman"/>
        </w:rPr>
        <w:t xml:space="preserve"> nudge</w:t>
      </w:r>
      <w:r w:rsidR="00F5236B">
        <w:rPr>
          <w:rFonts w:ascii="Times New Roman" w:hAnsi="Times New Roman"/>
        </w:rPr>
        <w:t xml:space="preserve"> in repeated decision making under uncertainty,</w:t>
      </w:r>
      <w:r>
        <w:rPr>
          <w:rFonts w:ascii="Times New Roman" w:hAnsi="Times New Roman"/>
        </w:rPr>
        <w:t xml:space="preserve"> </w:t>
      </w:r>
      <w:r w:rsidR="005F6AB5">
        <w:rPr>
          <w:rFonts w:ascii="Times New Roman" w:hAnsi="Times New Roman"/>
        </w:rPr>
        <w:t xml:space="preserve">has several appealing features. </w:t>
      </w:r>
      <w:r w:rsidR="00F5236B">
        <w:rPr>
          <w:rFonts w:ascii="Times New Roman" w:hAnsi="Times New Roman"/>
        </w:rPr>
        <w:t xml:space="preserve">The first is that </w:t>
      </w:r>
      <w:r w:rsidR="00723BEB">
        <w:rPr>
          <w:rFonts w:ascii="Times New Roman" w:hAnsi="Times New Roman"/>
        </w:rPr>
        <w:t xml:space="preserve">it </w:t>
      </w:r>
      <w:r w:rsidR="00F5236B">
        <w:rPr>
          <w:rFonts w:ascii="Times New Roman" w:hAnsi="Times New Roman"/>
        </w:rPr>
        <w:t xml:space="preserve">is applicable across a wider range of situations; while binding precommitment is easy to do in the lab, often in the real world, people can back out of their commitments. The second is that it is non-coercive. It creates a self-set default, and in that way, is a form of adaptive default </w:t>
      </w:r>
      <w:r w:rsidR="00F5236B">
        <w:rPr>
          <w:rFonts w:ascii="Times New Roman" w:hAnsi="Times New Roman"/>
        </w:rPr>
        <w:fldChar w:fldCharType="begin"/>
      </w:r>
      <w:r w:rsidR="00F5236B">
        <w:rPr>
          <w:rFonts w:ascii="Times New Roman" w:hAnsi="Times New Roman"/>
        </w:rPr>
        <w:instrText xml:space="preserve"> ADDIN EN.CITE &lt;EndNote&gt;&lt;Cite&gt;&lt;Author&gt;Goldstein&lt;/Author&gt;&lt;Year&gt;2008&lt;/Year&gt;&lt;IDText&gt;Nudge your customers toward better choices&lt;/IDText&gt;&lt;DisplayText&gt;(Goldstein, Johnson, Herrmann, &amp;amp; Heitmann, 2008)&lt;/DisplayText&gt;&lt;record&gt;&lt;titles&gt;&lt;title&gt;Nudge your customers toward better choices&lt;/title&gt;&lt;secondary-title&gt;Harvard Business Review&lt;/secondary-title&gt;&lt;/titles&gt;&lt;pages&gt;99-105&lt;/pages&gt;&lt;number&gt;12&lt;/number&gt;&lt;contributors&gt;&lt;authors&gt;&lt;author&gt;Goldstein, Daniel G&lt;/author&gt;&lt;author&gt;Johnson, Eric J&lt;/author&gt;&lt;author&gt;Herrmann, Andreas&lt;/author&gt;&lt;author&gt;Heitmann, Mark&lt;/author&gt;&lt;/authors&gt;&lt;/contributors&gt;&lt;added-date format="utc"&gt;1597434030&lt;/added-date&gt;&lt;ref-type name="Journal Article"&gt;17&lt;/ref-type&gt;&lt;dates&gt;&lt;year&gt;2008&lt;/year&gt;&lt;/dates&gt;&lt;rec-number&gt;652&lt;/rec-number&gt;&lt;last-updated-date format="utc"&gt;1597434030&lt;/last-updated-date&gt;&lt;volume&gt;86&lt;/volume&gt;&lt;/record&gt;&lt;/Cite&gt;&lt;/EndNote&gt;</w:instrText>
      </w:r>
      <w:r w:rsidR="00F5236B">
        <w:rPr>
          <w:rFonts w:ascii="Times New Roman" w:hAnsi="Times New Roman"/>
        </w:rPr>
        <w:fldChar w:fldCharType="separate"/>
      </w:r>
      <w:r w:rsidR="00F5236B">
        <w:rPr>
          <w:rFonts w:ascii="Times New Roman" w:hAnsi="Times New Roman"/>
          <w:noProof/>
        </w:rPr>
        <w:t>(Goldstein, Johnson, Herrmann, &amp; Heitmann, 2008)</w:t>
      </w:r>
      <w:r w:rsidR="00F5236B">
        <w:rPr>
          <w:rFonts w:ascii="Times New Roman" w:hAnsi="Times New Roman"/>
        </w:rPr>
        <w:fldChar w:fldCharType="end"/>
      </w:r>
      <w:r w:rsidR="00F5236B">
        <w:rPr>
          <w:rFonts w:ascii="Times New Roman" w:hAnsi="Times New Roman"/>
        </w:rPr>
        <w:t xml:space="preserve"> that fits itself to the preferences of the user. The third is experimental cleanliness; when comparing standard sequential choice and non-binding precommi</w:t>
      </w:r>
      <w:r w:rsidR="0045579F">
        <w:rPr>
          <w:rFonts w:ascii="Times New Roman" w:hAnsi="Times New Roman"/>
        </w:rPr>
        <w:t>t</w:t>
      </w:r>
      <w:r w:rsidR="00F5236B">
        <w:rPr>
          <w:rFonts w:ascii="Times New Roman" w:hAnsi="Times New Roman"/>
        </w:rPr>
        <w:t xml:space="preserve">ted choices, the timing of feedback and ability to use it is the same, which eliminates experimental confounds. </w:t>
      </w:r>
    </w:p>
    <w:p w14:paraId="47B91145" w14:textId="613C64AD" w:rsidR="00FA641C" w:rsidRPr="00B256F0" w:rsidRDefault="00B85E20" w:rsidP="00B256F0">
      <w:pPr>
        <w:spacing w:line="480" w:lineRule="auto"/>
        <w:ind w:firstLine="720"/>
        <w:rPr>
          <w:rFonts w:ascii="Times New Roman" w:hAnsi="Times New Roman"/>
          <w:i/>
          <w:iCs/>
        </w:rPr>
      </w:pPr>
      <w:r w:rsidRPr="00B256F0">
        <w:rPr>
          <w:rFonts w:ascii="Times New Roman" w:hAnsi="Times New Roman"/>
          <w:i/>
          <w:iCs/>
        </w:rPr>
        <w:t>Hypotheses</w:t>
      </w:r>
    </w:p>
    <w:p w14:paraId="0755097A" w14:textId="4D22DE06" w:rsidR="005C78DB" w:rsidRDefault="004D1724" w:rsidP="004D1724">
      <w:pPr>
        <w:spacing w:line="480" w:lineRule="auto"/>
        <w:ind w:firstLine="720"/>
        <w:rPr>
          <w:rFonts w:ascii="Times New Roman" w:hAnsi="Times New Roman"/>
        </w:rPr>
      </w:pPr>
      <w:r>
        <w:rPr>
          <w:rFonts w:ascii="Times New Roman" w:hAnsi="Times New Roman"/>
        </w:rPr>
        <w:t>The l</w:t>
      </w:r>
      <w:r w:rsidR="00CD0155">
        <w:rPr>
          <w:rFonts w:ascii="Times New Roman" w:hAnsi="Times New Roman"/>
        </w:rPr>
        <w:t>iteratures</w:t>
      </w:r>
      <w:r>
        <w:rPr>
          <w:rFonts w:ascii="Times New Roman" w:hAnsi="Times New Roman"/>
        </w:rPr>
        <w:t xml:space="preserve"> on choice bracketing and decision making under uncertainty (described above) suggest that when making sequential choices one-at-a-time, people focus on individual outcomes. In a choice between a certain loss or a low-probability, larger loss, people will </w:t>
      </w:r>
      <w:r w:rsidR="001B5F42">
        <w:rPr>
          <w:rFonts w:ascii="Times New Roman" w:hAnsi="Times New Roman"/>
        </w:rPr>
        <w:t xml:space="preserve">be most likely to avoid loss and achieve an acceptable outcome if they take the risk. </w:t>
      </w:r>
      <w:r>
        <w:rPr>
          <w:rFonts w:ascii="Times New Roman" w:hAnsi="Times New Roman"/>
        </w:rPr>
        <w:t xml:space="preserve"> </w:t>
      </w:r>
      <w:r w:rsidR="001B5F42">
        <w:rPr>
          <w:rFonts w:ascii="Times New Roman" w:hAnsi="Times New Roman"/>
        </w:rPr>
        <w:t>However, precommitment may lead to broad bracketing of outcomes, greater subjective probability of the loss, and a preference to diversify choices, all of which should lead to safer behavior. Therefore</w:t>
      </w:r>
      <w:r>
        <w:rPr>
          <w:rFonts w:ascii="Times New Roman" w:hAnsi="Times New Roman"/>
        </w:rPr>
        <w:t>, we hypothesized</w:t>
      </w:r>
      <w:r w:rsidR="00A14F3A">
        <w:rPr>
          <w:rFonts w:ascii="Times New Roman" w:hAnsi="Times New Roman"/>
        </w:rPr>
        <w:t xml:space="preserve"> that</w:t>
      </w:r>
      <w:r>
        <w:rPr>
          <w:rFonts w:ascii="Times New Roman" w:hAnsi="Times New Roman"/>
        </w:rPr>
        <w:t>:</w:t>
      </w:r>
    </w:p>
    <w:p w14:paraId="0EFDBB1E" w14:textId="06C283CF" w:rsidR="004E7902" w:rsidRDefault="004E7902" w:rsidP="002C2177">
      <w:pPr>
        <w:spacing w:line="480" w:lineRule="auto"/>
        <w:rPr>
          <w:rFonts w:ascii="Times New Roman" w:hAnsi="Times New Roman"/>
        </w:rPr>
      </w:pPr>
      <w:r w:rsidRPr="00EC2B68">
        <w:rPr>
          <w:rFonts w:ascii="Times New Roman" w:hAnsi="Times New Roman"/>
          <w:b/>
          <w:bCs/>
        </w:rPr>
        <w:t>H1:</w:t>
      </w:r>
      <w:r>
        <w:rPr>
          <w:rFonts w:ascii="Times New Roman" w:hAnsi="Times New Roman"/>
        </w:rPr>
        <w:t xml:space="preserve"> I</w:t>
      </w:r>
      <w:r w:rsidRPr="002208A3">
        <w:rPr>
          <w:rFonts w:ascii="Times New Roman" w:hAnsi="Times New Roman"/>
        </w:rPr>
        <w:t xml:space="preserve">n </w:t>
      </w:r>
      <w:r>
        <w:rPr>
          <w:rFonts w:ascii="Times New Roman" w:hAnsi="Times New Roman"/>
        </w:rPr>
        <w:t>the context of repeated decisions about low-probability, high-magnitude losses, precommitment increases the proportion of safe choices.</w:t>
      </w:r>
    </w:p>
    <w:p w14:paraId="6F4755D1" w14:textId="387AB5CE" w:rsidR="00CD0155" w:rsidRDefault="004D1724" w:rsidP="002C2177">
      <w:pPr>
        <w:spacing w:line="480" w:lineRule="auto"/>
        <w:rPr>
          <w:rFonts w:ascii="Times New Roman" w:hAnsi="Times New Roman"/>
        </w:rPr>
      </w:pPr>
      <w:r>
        <w:rPr>
          <w:rFonts w:ascii="Times New Roman" w:hAnsi="Times New Roman"/>
        </w:rPr>
        <w:tab/>
        <w:t>While the above hypothesis was developed based on the literature</w:t>
      </w:r>
      <w:r w:rsidR="001B5F42">
        <w:rPr>
          <w:rFonts w:ascii="Times New Roman" w:hAnsi="Times New Roman"/>
        </w:rPr>
        <w:t xml:space="preserve"> and intuition,</w:t>
      </w:r>
      <w:r>
        <w:rPr>
          <w:rFonts w:ascii="Times New Roman" w:hAnsi="Times New Roman"/>
        </w:rPr>
        <w:t xml:space="preserve"> and prior to collecting data, the subsequent hypotheses we present below were developed after collecting data, and as such are “hypotheses about the world” rather than a report of our prior predictions. </w:t>
      </w:r>
    </w:p>
    <w:p w14:paraId="66D2A731" w14:textId="3987D321" w:rsidR="004D1724" w:rsidRDefault="001B5F42" w:rsidP="002C2177">
      <w:pPr>
        <w:spacing w:line="480" w:lineRule="auto"/>
        <w:rPr>
          <w:rFonts w:ascii="Times New Roman" w:hAnsi="Times New Roman"/>
        </w:rPr>
      </w:pPr>
      <w:r>
        <w:rPr>
          <w:rFonts w:ascii="Times New Roman" w:hAnsi="Times New Roman"/>
        </w:rPr>
        <w:lastRenderedPageBreak/>
        <w:tab/>
      </w:r>
      <w:r w:rsidR="00625C66">
        <w:rPr>
          <w:rFonts w:ascii="Times New Roman" w:hAnsi="Times New Roman"/>
        </w:rPr>
        <w:t xml:space="preserve">Turning to the psychological processes driving the precommitment effect, we </w:t>
      </w:r>
      <w:r w:rsidR="00102ABF">
        <w:rPr>
          <w:rFonts w:ascii="Times New Roman" w:hAnsi="Times New Roman"/>
        </w:rPr>
        <w:t xml:space="preserve">test two distinct choice bracketing processes: broad bracketing of choices and outcomes, versus broad bracketing of probabilities. Based on self-report and experimental evidence, we find that precommitment leads people to plan ahead and consider both individual outcomes and overall outcomes. Put another way, it shifts people from the single goal of “do well on this choice” to have multiple goals of doing well on the individual choice and doing well overall. </w:t>
      </w:r>
      <w:r w:rsidR="00625C66">
        <w:rPr>
          <w:rFonts w:ascii="Times New Roman" w:hAnsi="Times New Roman"/>
        </w:rPr>
        <w:t xml:space="preserve"> </w:t>
      </w:r>
      <w:r w:rsidR="00102ABF">
        <w:rPr>
          <w:rFonts w:ascii="Times New Roman" w:hAnsi="Times New Roman"/>
        </w:rPr>
        <w:t>More formally, we now hypothesize that:</w:t>
      </w:r>
    </w:p>
    <w:p w14:paraId="32A31233" w14:textId="4471ED49" w:rsidR="004E7902" w:rsidRDefault="004E7902" w:rsidP="002C2177">
      <w:pPr>
        <w:spacing w:line="480" w:lineRule="auto"/>
        <w:rPr>
          <w:rFonts w:ascii="Times New Roman" w:hAnsi="Times New Roman"/>
        </w:rPr>
      </w:pPr>
      <w:r w:rsidRPr="008A49A1">
        <w:rPr>
          <w:rFonts w:ascii="Times New Roman" w:hAnsi="Times New Roman"/>
          <w:b/>
          <w:bCs/>
        </w:rPr>
        <w:t>H2:</w:t>
      </w:r>
      <w:r>
        <w:rPr>
          <w:rFonts w:ascii="Times New Roman" w:hAnsi="Times New Roman"/>
        </w:rPr>
        <w:t xml:space="preserve"> </w:t>
      </w:r>
      <w:r w:rsidR="008A49A1">
        <w:rPr>
          <w:rFonts w:ascii="Times New Roman" w:hAnsi="Times New Roman"/>
        </w:rPr>
        <w:t>The effect of precommitment on choices is mediated by an increase in planning and an increased focus on outcomes</w:t>
      </w:r>
    </w:p>
    <w:p w14:paraId="7076AB9F" w14:textId="7911BFA7" w:rsidR="00102ABF" w:rsidRPr="000A26F6" w:rsidRDefault="00102ABF" w:rsidP="002C2177">
      <w:pPr>
        <w:spacing w:line="480" w:lineRule="auto"/>
        <w:rPr>
          <w:rFonts w:ascii="Times New Roman" w:hAnsi="Times New Roman"/>
        </w:rPr>
      </w:pPr>
      <w:r>
        <w:rPr>
          <w:rFonts w:ascii="Times New Roman" w:hAnsi="Times New Roman"/>
          <w:b/>
          <w:bCs/>
        </w:rPr>
        <w:tab/>
      </w:r>
      <w:r w:rsidR="000A26F6">
        <w:rPr>
          <w:rFonts w:ascii="Times New Roman" w:hAnsi="Times New Roman"/>
        </w:rPr>
        <w:t xml:space="preserve">In contrast, while it is intuitive that precommitment would lead to broad bracketing of probabilities and increase the subjective likelihood of the loss, this process was not supported by the data (neither by self-report, nor by experimental data). </w:t>
      </w:r>
      <w:r w:rsidR="00BD354E">
        <w:rPr>
          <w:rFonts w:ascii="Times New Roman" w:hAnsi="Times New Roman"/>
        </w:rPr>
        <w:t>W</w:t>
      </w:r>
      <w:r w:rsidR="000A26F6">
        <w:rPr>
          <w:rFonts w:ascii="Times New Roman" w:hAnsi="Times New Roman"/>
        </w:rPr>
        <w:t xml:space="preserve">e did </w:t>
      </w:r>
      <w:r w:rsidR="00BD354E">
        <w:rPr>
          <w:rFonts w:ascii="Times New Roman" w:hAnsi="Times New Roman"/>
        </w:rPr>
        <w:t xml:space="preserve">replicate the classic effect of explicit broad bracketing of probabilities on choice, but it did not influence the effect of precommitment. Therefore, we show that broad bracketing of choices and outcomes and broad bracketing of probabilities are distinct processes, and the effect of precommitment on choices is driven by the former and not the latter. More formally: </w:t>
      </w:r>
    </w:p>
    <w:p w14:paraId="281A200C" w14:textId="2ABB59F4" w:rsidR="008A49A1" w:rsidRDefault="008A49A1" w:rsidP="002C2177">
      <w:pPr>
        <w:spacing w:line="480" w:lineRule="auto"/>
        <w:rPr>
          <w:rFonts w:ascii="Times New Roman" w:hAnsi="Times New Roman"/>
        </w:rPr>
      </w:pPr>
      <w:r w:rsidRPr="008A49A1">
        <w:rPr>
          <w:rFonts w:ascii="Times New Roman" w:hAnsi="Times New Roman"/>
          <w:b/>
          <w:bCs/>
        </w:rPr>
        <w:t xml:space="preserve">H3: </w:t>
      </w:r>
      <w:r>
        <w:rPr>
          <w:rFonts w:ascii="Times New Roman" w:hAnsi="Times New Roman"/>
        </w:rPr>
        <w:t xml:space="preserve">The effect of precommitment on choices is </w:t>
      </w:r>
      <w:r w:rsidRPr="008A49A1">
        <w:rPr>
          <w:rFonts w:ascii="Times New Roman" w:hAnsi="Times New Roman"/>
          <w:i/>
          <w:iCs/>
        </w:rPr>
        <w:t>not</w:t>
      </w:r>
      <w:r>
        <w:rPr>
          <w:rFonts w:ascii="Times New Roman" w:hAnsi="Times New Roman"/>
        </w:rPr>
        <w:t xml:space="preserve"> mediated by subjective</w:t>
      </w:r>
      <w:r w:rsidR="00703746">
        <w:rPr>
          <w:rFonts w:ascii="Times New Roman" w:hAnsi="Times New Roman"/>
        </w:rPr>
        <w:t>, cumulative</w:t>
      </w:r>
      <w:r>
        <w:rPr>
          <w:rFonts w:ascii="Times New Roman" w:hAnsi="Times New Roman"/>
        </w:rPr>
        <w:t xml:space="preserve"> probability perceptions</w:t>
      </w:r>
    </w:p>
    <w:p w14:paraId="6567D07D" w14:textId="6FA388C5" w:rsidR="00900527" w:rsidRDefault="00BD354E" w:rsidP="002C2177">
      <w:pPr>
        <w:spacing w:line="480" w:lineRule="auto"/>
        <w:rPr>
          <w:rFonts w:ascii="Times New Roman" w:hAnsi="Times New Roman"/>
        </w:rPr>
      </w:pPr>
      <w:r>
        <w:rPr>
          <w:rFonts w:ascii="Times New Roman" w:hAnsi="Times New Roman"/>
        </w:rPr>
        <w:tab/>
        <w:t>A simplified</w:t>
      </w:r>
      <w:r w:rsidR="00FC32FF">
        <w:rPr>
          <w:rFonts w:ascii="Times New Roman" w:hAnsi="Times New Roman"/>
        </w:rPr>
        <w:t xml:space="preserve"> </w:t>
      </w:r>
      <w:r>
        <w:rPr>
          <w:rFonts w:ascii="Times New Roman" w:hAnsi="Times New Roman"/>
        </w:rPr>
        <w:t xml:space="preserve">model to illustrate the hypothesized process is depicted in Figure </w:t>
      </w:r>
      <w:r w:rsidR="007E48CA">
        <w:rPr>
          <w:rFonts w:ascii="Times New Roman" w:hAnsi="Times New Roman"/>
        </w:rPr>
        <w:t>1</w:t>
      </w:r>
      <w:r>
        <w:rPr>
          <w:rFonts w:ascii="Times New Roman" w:hAnsi="Times New Roman"/>
        </w:rPr>
        <w:t>, below.</w:t>
      </w:r>
      <w:r w:rsidR="002F6E1E">
        <w:rPr>
          <w:rFonts w:ascii="Times New Roman" w:hAnsi="Times New Roman"/>
        </w:rPr>
        <w:t xml:space="preserve"> Many relevant factors, such as diversification motives, are not included in this simplified model. These studies shed a bit of light on diversification (see the General </w:t>
      </w:r>
      <w:r w:rsidR="002F6E1E">
        <w:rPr>
          <w:rFonts w:ascii="Times New Roman" w:hAnsi="Times New Roman"/>
        </w:rPr>
        <w:lastRenderedPageBreak/>
        <w:t xml:space="preserve">Discussion), but cannot definitively “rule it in” or “rule it out”, so it is not included in the simplified </w:t>
      </w:r>
      <w:r w:rsidR="004D1F26">
        <w:rPr>
          <w:rFonts w:ascii="Times New Roman" w:hAnsi="Times New Roman"/>
        </w:rPr>
        <w:t xml:space="preserve">process </w:t>
      </w:r>
      <w:r w:rsidR="002F6E1E">
        <w:rPr>
          <w:rFonts w:ascii="Times New Roman" w:hAnsi="Times New Roman"/>
        </w:rPr>
        <w:t xml:space="preserve">model here. </w:t>
      </w:r>
    </w:p>
    <w:p w14:paraId="1BC7F702" w14:textId="0CF75B3F" w:rsidR="00900527" w:rsidRPr="008A2F6F" w:rsidRDefault="00900527" w:rsidP="002C2177">
      <w:pPr>
        <w:spacing w:line="480" w:lineRule="auto"/>
        <w:rPr>
          <w:rFonts w:ascii="Times New Roman" w:hAnsi="Times New Roman"/>
          <w:i/>
          <w:iCs/>
        </w:rPr>
      </w:pPr>
      <w:r w:rsidRPr="008A2F6F">
        <w:rPr>
          <w:rFonts w:ascii="Times New Roman" w:hAnsi="Times New Roman"/>
          <w:i/>
          <w:iCs/>
        </w:rPr>
        <w:t xml:space="preserve">Figure </w:t>
      </w:r>
      <w:r w:rsidR="007E48CA">
        <w:rPr>
          <w:rFonts w:ascii="Times New Roman" w:hAnsi="Times New Roman"/>
          <w:i/>
          <w:iCs/>
        </w:rPr>
        <w:t>1</w:t>
      </w:r>
      <w:r w:rsidRPr="008A2F6F">
        <w:rPr>
          <w:rFonts w:ascii="Times New Roman" w:hAnsi="Times New Roman"/>
          <w:i/>
          <w:iCs/>
        </w:rPr>
        <w:t xml:space="preserve">. Simplified model showing the process by which precommitment </w:t>
      </w:r>
      <w:r w:rsidR="008A2F6F" w:rsidRPr="008A2F6F">
        <w:rPr>
          <w:rFonts w:ascii="Times New Roman" w:hAnsi="Times New Roman"/>
          <w:i/>
          <w:iCs/>
        </w:rPr>
        <w:t>influences</w:t>
      </w:r>
      <w:r w:rsidRPr="008A2F6F">
        <w:rPr>
          <w:rFonts w:ascii="Times New Roman" w:hAnsi="Times New Roman"/>
          <w:i/>
          <w:iCs/>
        </w:rPr>
        <w:t xml:space="preserve"> repeated decisions about low-probability, high-magnitude losses.</w:t>
      </w:r>
    </w:p>
    <w:p w14:paraId="1183A52A" w14:textId="7130B628" w:rsidR="004E7902" w:rsidRPr="002208A3" w:rsidRDefault="006A6763" w:rsidP="002C2177">
      <w:pPr>
        <w:spacing w:line="480" w:lineRule="auto"/>
        <w:rPr>
          <w:rFonts w:ascii="Times New Roman" w:hAnsi="Times New Roman"/>
        </w:rPr>
      </w:pPr>
      <w:r>
        <w:rPr>
          <w:rFonts w:ascii="Times New Roman" w:hAnsi="Times New Roman"/>
          <w:noProof/>
        </w:rPr>
        <w:drawing>
          <wp:inline distT="0" distB="0" distL="0" distR="0" wp14:anchorId="76AC8A1C" wp14:editId="728BD0D9">
            <wp:extent cx="5745951" cy="2489493"/>
            <wp:effectExtent l="0" t="0" r="762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7225" cy="2494378"/>
                    </a:xfrm>
                    <a:prstGeom prst="rect">
                      <a:avLst/>
                    </a:prstGeom>
                    <a:noFill/>
                    <a:ln>
                      <a:noFill/>
                    </a:ln>
                  </pic:spPr>
                </pic:pic>
              </a:graphicData>
            </a:graphic>
          </wp:inline>
        </w:drawing>
      </w:r>
    </w:p>
    <w:p w14:paraId="4D3BC169" w14:textId="77777777" w:rsidR="006B4F49" w:rsidRDefault="006B4F49" w:rsidP="006B4F49">
      <w:pPr>
        <w:spacing w:line="480" w:lineRule="auto"/>
        <w:rPr>
          <w:rFonts w:ascii="Times New Roman" w:hAnsi="Times New Roman"/>
          <w:b/>
          <w:bCs/>
        </w:rPr>
      </w:pPr>
    </w:p>
    <w:p w14:paraId="2AC72B7E" w14:textId="2453BF78" w:rsidR="004D1F26" w:rsidRPr="00D86706" w:rsidRDefault="004D1F26" w:rsidP="006B4F49">
      <w:pPr>
        <w:spacing w:line="480" w:lineRule="auto"/>
        <w:rPr>
          <w:rFonts w:ascii="Times New Roman" w:hAnsi="Times New Roman"/>
        </w:rPr>
      </w:pPr>
      <w:r>
        <w:rPr>
          <w:rFonts w:ascii="Times New Roman" w:hAnsi="Times New Roman"/>
          <w:b/>
          <w:bCs/>
        </w:rPr>
        <w:tab/>
      </w:r>
      <w:r w:rsidR="008669AC">
        <w:rPr>
          <w:rFonts w:ascii="Times New Roman" w:hAnsi="Times New Roman"/>
        </w:rPr>
        <w:t xml:space="preserve">Turning to independent security situations (i.e., in social dilemmas under uncertainty), the impact of precommitment is unclear based on previous literature and logic.  On the one hand, following H1 and H2 above, precommitment should increase cooperation in safety. However, given game dynamics and the potential for free-riding, non-binding precommitment could “fall apart” if participants observe that their counterpart is not investing in protection. Ultimately, we find that: </w:t>
      </w:r>
    </w:p>
    <w:p w14:paraId="0D09CA62" w14:textId="7A3DAA9C" w:rsidR="006B4F49" w:rsidRDefault="006B4F49" w:rsidP="006B4F49">
      <w:pPr>
        <w:spacing w:line="480" w:lineRule="auto"/>
        <w:rPr>
          <w:rFonts w:ascii="Times New Roman" w:hAnsi="Times New Roman"/>
        </w:rPr>
      </w:pPr>
      <w:r w:rsidRPr="004721E2">
        <w:rPr>
          <w:rFonts w:ascii="Times New Roman" w:hAnsi="Times New Roman"/>
          <w:b/>
          <w:bCs/>
        </w:rPr>
        <w:t xml:space="preserve">H4: </w:t>
      </w:r>
      <w:r>
        <w:rPr>
          <w:rFonts w:ascii="Times New Roman" w:hAnsi="Times New Roman"/>
        </w:rPr>
        <w:t xml:space="preserve">In interdependent security situations, binding precommitment increases safe choices, but non-binding precommitment does not. </w:t>
      </w:r>
    </w:p>
    <w:p w14:paraId="4517B66B" w14:textId="418BB0E1" w:rsidR="002C2177" w:rsidRDefault="002C2177" w:rsidP="00B256F0">
      <w:pPr>
        <w:spacing w:line="480" w:lineRule="auto"/>
        <w:ind w:firstLine="720"/>
        <w:rPr>
          <w:rFonts w:ascii="Times New Roman" w:hAnsi="Times New Roman"/>
          <w:i/>
        </w:rPr>
      </w:pPr>
      <w:r>
        <w:rPr>
          <w:rFonts w:ascii="Times New Roman" w:hAnsi="Times New Roman"/>
          <w:i/>
        </w:rPr>
        <w:t>Overview of studies</w:t>
      </w:r>
    </w:p>
    <w:p w14:paraId="270D7BBC" w14:textId="5DBFE476" w:rsidR="00190F93" w:rsidRPr="00190F93" w:rsidRDefault="004D041A" w:rsidP="002C2177">
      <w:pPr>
        <w:spacing w:line="480" w:lineRule="auto"/>
        <w:rPr>
          <w:rFonts w:ascii="Times New Roman" w:hAnsi="Times New Roman"/>
          <w:iCs/>
        </w:rPr>
      </w:pPr>
      <w:r>
        <w:rPr>
          <w:rFonts w:ascii="Times New Roman" w:hAnsi="Times New Roman"/>
          <w:iCs/>
        </w:rPr>
        <w:tab/>
        <w:t>In all studies, we compare sequential choice with preco</w:t>
      </w:r>
      <w:r w:rsidR="00057754">
        <w:rPr>
          <w:rFonts w:ascii="Times New Roman" w:hAnsi="Times New Roman"/>
          <w:iCs/>
        </w:rPr>
        <w:t>m</w:t>
      </w:r>
      <w:r>
        <w:rPr>
          <w:rFonts w:ascii="Times New Roman" w:hAnsi="Times New Roman"/>
          <w:iCs/>
        </w:rPr>
        <w:t xml:space="preserve">mitment in a between-participants design. Across studies, we use a variety of online samples and student </w:t>
      </w:r>
      <w:r>
        <w:rPr>
          <w:rFonts w:ascii="Times New Roman" w:hAnsi="Times New Roman"/>
          <w:iCs/>
        </w:rPr>
        <w:lastRenderedPageBreak/>
        <w:t xml:space="preserve">samples, and use both hypothetical scenarios and incentive-compatible designs. In Study 1, </w:t>
      </w:r>
      <w:r w:rsidR="0002355E">
        <w:rPr>
          <w:rFonts w:ascii="Times New Roman" w:hAnsi="Times New Roman"/>
          <w:iCs/>
        </w:rPr>
        <w:t xml:space="preserve">which was pre-registered, </w:t>
      </w:r>
      <w:r>
        <w:rPr>
          <w:rFonts w:ascii="Times New Roman" w:hAnsi="Times New Roman"/>
          <w:iCs/>
        </w:rPr>
        <w:t xml:space="preserve">we show the basic precommitment effect, and use a think-aloud protocol to explore the process drivers of the effect (supporting H1 </w:t>
      </w:r>
      <w:r w:rsidR="00D71ACB">
        <w:rPr>
          <w:rFonts w:ascii="Times New Roman" w:hAnsi="Times New Roman"/>
          <w:iCs/>
        </w:rPr>
        <w:t>&amp;</w:t>
      </w:r>
      <w:r>
        <w:rPr>
          <w:rFonts w:ascii="Times New Roman" w:hAnsi="Times New Roman"/>
          <w:iCs/>
        </w:rPr>
        <w:t xml:space="preserve"> H2). In Study 2, we test the typical broad-bracketing educational intervention of providing the cumulative probability to participants, and find that it is orthogonal to the precommitment effect (supporting </w:t>
      </w:r>
      <w:r w:rsidR="00D71ACB">
        <w:rPr>
          <w:rFonts w:ascii="Times New Roman" w:hAnsi="Times New Roman"/>
          <w:iCs/>
        </w:rPr>
        <w:t xml:space="preserve">H1 &amp; </w:t>
      </w:r>
      <w:r>
        <w:rPr>
          <w:rFonts w:ascii="Times New Roman" w:hAnsi="Times New Roman"/>
          <w:iCs/>
        </w:rPr>
        <w:t xml:space="preserve">H3). In Study 3, we vary the number of rounds in each block (to be either 5, 10, or 20), and find that it has </w:t>
      </w:r>
      <w:r w:rsidR="00BF0668">
        <w:rPr>
          <w:rFonts w:ascii="Times New Roman" w:hAnsi="Times New Roman"/>
          <w:iCs/>
        </w:rPr>
        <w:t>no effect on choices</w:t>
      </w:r>
      <w:r w:rsidR="00D71ACB">
        <w:rPr>
          <w:rFonts w:ascii="Times New Roman" w:hAnsi="Times New Roman"/>
          <w:iCs/>
        </w:rPr>
        <w:t xml:space="preserve"> (supporting H1 &amp; H3). In Study 4, we introduce non-binding precommitment, and find that it has the roughly same effect as binding precommitment (supporting H1). In Study 5, </w:t>
      </w:r>
      <w:r w:rsidR="00BA2408">
        <w:rPr>
          <w:rFonts w:ascii="Times New Roman" w:hAnsi="Times New Roman"/>
          <w:iCs/>
        </w:rPr>
        <w:t xml:space="preserve">which was </w:t>
      </w:r>
      <w:r w:rsidR="00213321">
        <w:rPr>
          <w:rFonts w:ascii="Times New Roman" w:hAnsi="Times New Roman"/>
          <w:iCs/>
        </w:rPr>
        <w:t xml:space="preserve">also </w:t>
      </w:r>
      <w:r w:rsidR="00BA2408">
        <w:rPr>
          <w:rFonts w:ascii="Times New Roman" w:hAnsi="Times New Roman"/>
          <w:iCs/>
        </w:rPr>
        <w:t xml:space="preserve">pre-registered, </w:t>
      </w:r>
      <w:r w:rsidR="00D71ACB">
        <w:rPr>
          <w:rFonts w:ascii="Times New Roman" w:hAnsi="Times New Roman"/>
          <w:iCs/>
        </w:rPr>
        <w:t xml:space="preserve">we collect self-report rating scales on decision process, which mediate the precommitment effect (supporting H1 &amp; H2). In Study 6, we test precommitment in the interdependent security context (supporting H4). We also ran three additional studies (S1, S2, and S3), </w:t>
      </w:r>
      <w:r w:rsidR="00247556">
        <w:rPr>
          <w:rFonts w:ascii="Times New Roman" w:hAnsi="Times New Roman"/>
          <w:iCs/>
        </w:rPr>
        <w:t xml:space="preserve">reported in the online supplement, </w:t>
      </w:r>
      <w:r w:rsidR="00D71ACB">
        <w:rPr>
          <w:rFonts w:ascii="Times New Roman" w:hAnsi="Times New Roman"/>
          <w:iCs/>
        </w:rPr>
        <w:t>which</w:t>
      </w:r>
      <w:r w:rsidR="00247556">
        <w:rPr>
          <w:rFonts w:ascii="Times New Roman" w:hAnsi="Times New Roman"/>
          <w:iCs/>
        </w:rPr>
        <w:t xml:space="preserve"> further support H1-H3 and</w:t>
      </w:r>
      <w:r w:rsidR="00D71ACB">
        <w:rPr>
          <w:rFonts w:ascii="Times New Roman" w:hAnsi="Times New Roman"/>
          <w:iCs/>
        </w:rPr>
        <w:t xml:space="preserve"> rule out confounds, show an alternative manipulation of the process and effect, and explore variations in the experimental design (e.g., examining the gain domain, differences in expected value, and differences in probability levels). </w:t>
      </w:r>
    </w:p>
    <w:p w14:paraId="63057266" w14:textId="56E59B82" w:rsidR="006E40F0" w:rsidRDefault="006E40F0">
      <w:pPr>
        <w:rPr>
          <w:rFonts w:ascii="Times New Roman" w:hAnsi="Times New Roman"/>
          <w:i/>
        </w:rPr>
      </w:pPr>
    </w:p>
    <w:p w14:paraId="68B7D3A2" w14:textId="7FEDDB5D" w:rsidR="007F39CB" w:rsidRPr="00AE7C04" w:rsidRDefault="007F39CB" w:rsidP="0017767F">
      <w:pPr>
        <w:spacing w:line="480" w:lineRule="auto"/>
        <w:jc w:val="center"/>
        <w:rPr>
          <w:rFonts w:ascii="Times New Roman" w:hAnsi="Times New Roman"/>
          <w:i/>
        </w:rPr>
      </w:pPr>
      <w:r w:rsidRPr="00AE7C04">
        <w:rPr>
          <w:rFonts w:ascii="Times New Roman" w:hAnsi="Times New Roman"/>
          <w:i/>
        </w:rPr>
        <w:t>Study 1:</w:t>
      </w:r>
      <w:r w:rsidRPr="00AE7C04" w:rsidDel="003208C2">
        <w:rPr>
          <w:rFonts w:ascii="Times New Roman" w:hAnsi="Times New Roman"/>
          <w:i/>
        </w:rPr>
        <w:t xml:space="preserve"> </w:t>
      </w:r>
      <w:r w:rsidR="0017767F">
        <w:rPr>
          <w:rFonts w:ascii="Times New Roman" w:hAnsi="Times New Roman"/>
          <w:i/>
        </w:rPr>
        <w:t>Think-aloud protocol</w:t>
      </w:r>
    </w:p>
    <w:p w14:paraId="211A876F" w14:textId="3BA0E871" w:rsidR="004532A8" w:rsidRPr="002208A3" w:rsidRDefault="004532A8" w:rsidP="004532A8">
      <w:pPr>
        <w:spacing w:line="480" w:lineRule="auto"/>
        <w:ind w:firstLine="720"/>
        <w:rPr>
          <w:rFonts w:ascii="Times New Roman" w:hAnsi="Times New Roman"/>
        </w:rPr>
      </w:pPr>
      <w:r w:rsidRPr="002208A3">
        <w:rPr>
          <w:rFonts w:ascii="Times New Roman" w:hAnsi="Times New Roman"/>
        </w:rPr>
        <w:t xml:space="preserve">The first study </w:t>
      </w:r>
      <w:r>
        <w:rPr>
          <w:rFonts w:ascii="Times New Roman" w:hAnsi="Times New Roman"/>
        </w:rPr>
        <w:t xml:space="preserve">tested the main effect of precommitment </w:t>
      </w:r>
      <w:r w:rsidR="00BA2408">
        <w:rPr>
          <w:rFonts w:ascii="Times New Roman" w:hAnsi="Times New Roman"/>
        </w:rPr>
        <w:t>on decisions about low-probability, high-magnitude losses</w:t>
      </w:r>
      <w:r>
        <w:rPr>
          <w:rFonts w:ascii="Times New Roman" w:hAnsi="Times New Roman"/>
        </w:rPr>
        <w:t>.</w:t>
      </w:r>
      <w:r w:rsidRPr="002208A3">
        <w:rPr>
          <w:rFonts w:ascii="Times New Roman" w:hAnsi="Times New Roman"/>
        </w:rPr>
        <w:t xml:space="preserve"> </w:t>
      </w:r>
      <w:r>
        <w:rPr>
          <w:rFonts w:ascii="Times New Roman" w:hAnsi="Times New Roman"/>
        </w:rPr>
        <w:t xml:space="preserve">We hypothesize that </w:t>
      </w:r>
      <w:r w:rsidR="00C65E94">
        <w:rPr>
          <w:rFonts w:ascii="Times New Roman" w:hAnsi="Times New Roman"/>
        </w:rPr>
        <w:t>people who</w:t>
      </w:r>
      <w:r>
        <w:rPr>
          <w:rFonts w:ascii="Times New Roman" w:hAnsi="Times New Roman"/>
        </w:rPr>
        <w:t xml:space="preserve"> precommit their choices </w:t>
      </w:r>
      <w:r w:rsidR="00BA2408">
        <w:rPr>
          <w:rFonts w:ascii="Times New Roman" w:hAnsi="Times New Roman"/>
        </w:rPr>
        <w:t>w</w:t>
      </w:r>
      <w:r w:rsidR="00C65E94">
        <w:rPr>
          <w:rFonts w:ascii="Times New Roman" w:hAnsi="Times New Roman"/>
        </w:rPr>
        <w:t>ill</w:t>
      </w:r>
      <w:r>
        <w:rPr>
          <w:rFonts w:ascii="Times New Roman" w:hAnsi="Times New Roman"/>
        </w:rPr>
        <w:t xml:space="preserve"> choose the safer option more often than those who </w:t>
      </w:r>
      <w:r w:rsidR="00747919">
        <w:rPr>
          <w:rFonts w:ascii="Times New Roman" w:hAnsi="Times New Roman"/>
        </w:rPr>
        <w:t>make their choices one at a time</w:t>
      </w:r>
      <w:r w:rsidR="00244923">
        <w:rPr>
          <w:rFonts w:ascii="Times New Roman" w:hAnsi="Times New Roman"/>
        </w:rPr>
        <w:t xml:space="preserve"> (H1)</w:t>
      </w:r>
      <w:r>
        <w:rPr>
          <w:rFonts w:ascii="Times New Roman" w:hAnsi="Times New Roman"/>
        </w:rPr>
        <w:t xml:space="preserve">. </w:t>
      </w:r>
      <w:r w:rsidR="00C65E94">
        <w:rPr>
          <w:rFonts w:ascii="Times New Roman" w:hAnsi="Times New Roman"/>
        </w:rPr>
        <w:t>P</w:t>
      </w:r>
      <w:r>
        <w:rPr>
          <w:rFonts w:ascii="Times New Roman" w:hAnsi="Times New Roman"/>
        </w:rPr>
        <w:t xml:space="preserve">articipants </w:t>
      </w:r>
      <w:r w:rsidR="00C65E94">
        <w:rPr>
          <w:rFonts w:ascii="Times New Roman" w:hAnsi="Times New Roman"/>
        </w:rPr>
        <w:t xml:space="preserve">were asked </w:t>
      </w:r>
      <w:r>
        <w:rPr>
          <w:rFonts w:ascii="Times New Roman" w:hAnsi="Times New Roman"/>
        </w:rPr>
        <w:t xml:space="preserve">to voice their thoughts aloud throughout the study (i.e., a think-aloud </w:t>
      </w:r>
      <w:r w:rsidR="00C65E94">
        <w:rPr>
          <w:rFonts w:ascii="Times New Roman" w:hAnsi="Times New Roman"/>
        </w:rPr>
        <w:t>protocol</w:t>
      </w:r>
      <w:r>
        <w:rPr>
          <w:rFonts w:ascii="Times New Roman" w:hAnsi="Times New Roman"/>
        </w:rPr>
        <w:t xml:space="preserve">). </w:t>
      </w:r>
      <w:r w:rsidR="00C65E94">
        <w:rPr>
          <w:rFonts w:ascii="Times New Roman" w:hAnsi="Times New Roman"/>
        </w:rPr>
        <w:t>Research assistants</w:t>
      </w:r>
      <w:r>
        <w:rPr>
          <w:rFonts w:ascii="Times New Roman" w:hAnsi="Times New Roman"/>
        </w:rPr>
        <w:t xml:space="preserve"> </w:t>
      </w:r>
      <w:r w:rsidR="00FB3203">
        <w:rPr>
          <w:rFonts w:ascii="Times New Roman" w:hAnsi="Times New Roman"/>
        </w:rPr>
        <w:t xml:space="preserve">later </w:t>
      </w:r>
      <w:r>
        <w:rPr>
          <w:rFonts w:ascii="Times New Roman" w:hAnsi="Times New Roman"/>
        </w:rPr>
        <w:t xml:space="preserve">transcribed and coded these thoughts for </w:t>
      </w:r>
      <w:r w:rsidR="00B929D3">
        <w:rPr>
          <w:rFonts w:ascii="Times New Roman" w:hAnsi="Times New Roman"/>
        </w:rPr>
        <w:t>exploratory</w:t>
      </w:r>
      <w:r>
        <w:rPr>
          <w:rFonts w:ascii="Times New Roman" w:hAnsi="Times New Roman"/>
        </w:rPr>
        <w:t xml:space="preserve"> analys</w:t>
      </w:r>
      <w:r w:rsidR="00B929D3">
        <w:rPr>
          <w:rFonts w:ascii="Times New Roman" w:hAnsi="Times New Roman"/>
        </w:rPr>
        <w:t>i</w:t>
      </w:r>
      <w:r>
        <w:rPr>
          <w:rFonts w:ascii="Times New Roman" w:hAnsi="Times New Roman"/>
        </w:rPr>
        <w:t xml:space="preserve">s to gain insight on the potential underlying mechanisms. </w:t>
      </w:r>
      <w:r w:rsidR="0002355E">
        <w:rPr>
          <w:rFonts w:ascii="Times New Roman" w:hAnsi="Times New Roman"/>
        </w:rPr>
        <w:lastRenderedPageBreak/>
        <w:t xml:space="preserve">We pre-registered the study design and choice analyses (which can be found here: </w:t>
      </w:r>
      <w:proofErr w:type="gramStart"/>
      <w:r w:rsidR="0002355E" w:rsidRPr="0002355E">
        <w:rPr>
          <w:rFonts w:ascii="Times New Roman" w:hAnsi="Times New Roman"/>
        </w:rPr>
        <w:t>https://aspredicted.org/blind.php?x=9d8gx3</w:t>
      </w:r>
      <w:r w:rsidR="0002355E">
        <w:rPr>
          <w:rFonts w:ascii="Times New Roman" w:hAnsi="Times New Roman"/>
        </w:rPr>
        <w:t xml:space="preserve"> )</w:t>
      </w:r>
      <w:proofErr w:type="gramEnd"/>
      <w:r w:rsidR="0002355E">
        <w:rPr>
          <w:rFonts w:ascii="Times New Roman" w:hAnsi="Times New Roman"/>
        </w:rPr>
        <w:t xml:space="preserve">, but the thought coding categories were developed after data collection in an exploratory manner, as detailed below. </w:t>
      </w:r>
    </w:p>
    <w:p w14:paraId="11CA782E" w14:textId="77777777" w:rsidR="004532A8" w:rsidRPr="002208A3" w:rsidRDefault="004532A8" w:rsidP="004532A8">
      <w:pPr>
        <w:spacing w:line="480" w:lineRule="auto"/>
        <w:rPr>
          <w:rFonts w:ascii="Times New Roman" w:hAnsi="Times New Roman"/>
          <w:i/>
        </w:rPr>
      </w:pPr>
      <w:r w:rsidRPr="002208A3">
        <w:rPr>
          <w:rFonts w:ascii="Times New Roman" w:hAnsi="Times New Roman"/>
          <w:i/>
        </w:rPr>
        <w:t xml:space="preserve">Study </w:t>
      </w:r>
      <w:r>
        <w:rPr>
          <w:rFonts w:ascii="Times New Roman" w:hAnsi="Times New Roman"/>
          <w:i/>
        </w:rPr>
        <w:t>1</w:t>
      </w:r>
      <w:r w:rsidRPr="002208A3">
        <w:rPr>
          <w:rFonts w:ascii="Times New Roman" w:hAnsi="Times New Roman"/>
          <w:i/>
        </w:rPr>
        <w:t>: Design Overview</w:t>
      </w:r>
    </w:p>
    <w:p w14:paraId="1F7141CC" w14:textId="20E50157" w:rsidR="004532A8" w:rsidRPr="002208A3" w:rsidRDefault="004532A8" w:rsidP="004532A8">
      <w:pPr>
        <w:spacing w:line="480" w:lineRule="auto"/>
        <w:rPr>
          <w:rFonts w:ascii="Times New Roman" w:hAnsi="Times New Roman"/>
        </w:rPr>
      </w:pPr>
      <w:r>
        <w:rPr>
          <w:rFonts w:ascii="Times New Roman" w:hAnsi="Times New Roman"/>
        </w:rPr>
        <w:tab/>
      </w:r>
      <w:r w:rsidRPr="002208A3">
        <w:rPr>
          <w:rFonts w:ascii="Times New Roman" w:hAnsi="Times New Roman"/>
        </w:rPr>
        <w:t xml:space="preserve">In a between-subjects design, participants played </w:t>
      </w:r>
      <w:r>
        <w:rPr>
          <w:rFonts w:ascii="Times New Roman" w:hAnsi="Times New Roman"/>
        </w:rPr>
        <w:t xml:space="preserve">an economic game of decision making under uncertainty. </w:t>
      </w:r>
      <w:r w:rsidRPr="002208A3">
        <w:rPr>
          <w:rFonts w:ascii="Times New Roman" w:hAnsi="Times New Roman"/>
        </w:rPr>
        <w:t xml:space="preserve">Participants played 80 rounds, broken down into 4 blocks of 20. Participants were randomly assigned </w:t>
      </w:r>
      <w:r>
        <w:rPr>
          <w:rFonts w:ascii="Times New Roman" w:hAnsi="Times New Roman"/>
        </w:rPr>
        <w:t xml:space="preserve">to either </w:t>
      </w:r>
      <w:r w:rsidR="00747919">
        <w:rPr>
          <w:rFonts w:ascii="Times New Roman" w:hAnsi="Times New Roman"/>
        </w:rPr>
        <w:t>the precommitment condition</w:t>
      </w:r>
      <w:r>
        <w:rPr>
          <w:rFonts w:ascii="Times New Roman" w:hAnsi="Times New Roman"/>
        </w:rPr>
        <w:t xml:space="preserve"> or </w:t>
      </w:r>
      <w:r w:rsidR="00747919">
        <w:rPr>
          <w:rFonts w:ascii="Times New Roman" w:hAnsi="Times New Roman"/>
        </w:rPr>
        <w:t>“repeated choice” control condition</w:t>
      </w:r>
      <w:r>
        <w:rPr>
          <w:rFonts w:ascii="Times New Roman" w:hAnsi="Times New Roman"/>
        </w:rPr>
        <w:t>. O</w:t>
      </w:r>
      <w:r w:rsidRPr="002208A3">
        <w:rPr>
          <w:rFonts w:ascii="Times New Roman" w:hAnsi="Times New Roman"/>
        </w:rPr>
        <w:t>ne block was randomly selected and paid out for real money at the end of the study.</w:t>
      </w:r>
      <w:r>
        <w:rPr>
          <w:rFonts w:ascii="Times New Roman" w:hAnsi="Times New Roman"/>
        </w:rPr>
        <w:t xml:space="preserve"> </w:t>
      </w:r>
      <w:r w:rsidR="00747919">
        <w:rPr>
          <w:rFonts w:ascii="Times New Roman" w:hAnsi="Times New Roman"/>
        </w:rPr>
        <w:t>Throughout the study, p</w:t>
      </w:r>
      <w:r>
        <w:rPr>
          <w:rFonts w:ascii="Times New Roman" w:hAnsi="Times New Roman"/>
        </w:rPr>
        <w:t>articipants were asked to voice their thoughts out loud</w:t>
      </w:r>
      <w:r w:rsidR="00747919">
        <w:rPr>
          <w:rFonts w:ascii="Times New Roman" w:hAnsi="Times New Roman"/>
        </w:rPr>
        <w:t>, to be</w:t>
      </w:r>
      <w:r>
        <w:rPr>
          <w:rFonts w:ascii="Times New Roman" w:hAnsi="Times New Roman"/>
        </w:rPr>
        <w:t xml:space="preserve"> recorded and transcribed for further use. We reminded the participants to think</w:t>
      </w:r>
      <w:r w:rsidR="00747919">
        <w:rPr>
          <w:rFonts w:ascii="Times New Roman" w:hAnsi="Times New Roman"/>
        </w:rPr>
        <w:t xml:space="preserve"> </w:t>
      </w:r>
      <w:r>
        <w:rPr>
          <w:rFonts w:ascii="Times New Roman" w:hAnsi="Times New Roman"/>
        </w:rPr>
        <w:t>aloud at the beginning of each block.</w:t>
      </w:r>
      <w:r w:rsidR="00FA43CE">
        <w:rPr>
          <w:rFonts w:ascii="Times New Roman" w:hAnsi="Times New Roman"/>
        </w:rPr>
        <w:t xml:space="preserve"> The complete experimental materials for this study and for all studies are provided in the online supplement. </w:t>
      </w:r>
    </w:p>
    <w:p w14:paraId="56F5F4B7" w14:textId="77777777" w:rsidR="004532A8" w:rsidRPr="002208A3" w:rsidRDefault="004532A8" w:rsidP="004532A8">
      <w:pPr>
        <w:spacing w:line="480" w:lineRule="auto"/>
        <w:rPr>
          <w:rFonts w:ascii="Times New Roman" w:hAnsi="Times New Roman"/>
          <w:i/>
        </w:rPr>
      </w:pPr>
      <w:r w:rsidRPr="002208A3">
        <w:rPr>
          <w:rFonts w:ascii="Times New Roman" w:hAnsi="Times New Roman"/>
          <w:i/>
        </w:rPr>
        <w:t xml:space="preserve">Study </w:t>
      </w:r>
      <w:r>
        <w:rPr>
          <w:rFonts w:ascii="Times New Roman" w:hAnsi="Times New Roman"/>
          <w:i/>
        </w:rPr>
        <w:t>1</w:t>
      </w:r>
      <w:r w:rsidRPr="002208A3">
        <w:rPr>
          <w:rFonts w:ascii="Times New Roman" w:hAnsi="Times New Roman"/>
          <w:i/>
        </w:rPr>
        <w:t xml:space="preserve">: </w:t>
      </w:r>
      <w:r>
        <w:rPr>
          <w:rFonts w:ascii="Times New Roman" w:hAnsi="Times New Roman"/>
          <w:i/>
        </w:rPr>
        <w:t>Methods</w:t>
      </w:r>
    </w:p>
    <w:p w14:paraId="5FA64C30" w14:textId="781A9BD4" w:rsidR="004532A8" w:rsidRPr="002208A3" w:rsidRDefault="004532A8" w:rsidP="004532A8">
      <w:pPr>
        <w:spacing w:line="480" w:lineRule="auto"/>
        <w:rPr>
          <w:rFonts w:ascii="Times New Roman" w:hAnsi="Times New Roman"/>
        </w:rPr>
      </w:pPr>
      <w:r>
        <w:rPr>
          <w:rFonts w:ascii="Times New Roman" w:hAnsi="Times New Roman"/>
        </w:rPr>
        <w:tab/>
        <w:t>104</w:t>
      </w:r>
      <w:r w:rsidRPr="002208A3">
        <w:rPr>
          <w:rFonts w:ascii="Times New Roman" w:hAnsi="Times New Roman"/>
        </w:rPr>
        <w:t xml:space="preserve"> participants</w:t>
      </w:r>
      <w:r w:rsidR="00BB5794">
        <w:rPr>
          <w:rFonts w:ascii="Times New Roman" w:hAnsi="Times New Roman"/>
        </w:rPr>
        <w:t>, mainly students at a Canadian university,</w:t>
      </w:r>
      <w:r w:rsidRPr="002208A3">
        <w:rPr>
          <w:rFonts w:ascii="Times New Roman" w:hAnsi="Times New Roman"/>
        </w:rPr>
        <w:t xml:space="preserve"> (</w:t>
      </w:r>
      <w:r>
        <w:rPr>
          <w:rFonts w:ascii="Times New Roman" w:hAnsi="Times New Roman"/>
        </w:rPr>
        <w:t>59.6</w:t>
      </w:r>
      <w:r w:rsidRPr="002208A3">
        <w:rPr>
          <w:rFonts w:ascii="Times New Roman" w:hAnsi="Times New Roman"/>
        </w:rPr>
        <w:t xml:space="preserve">% female, </w:t>
      </w:r>
      <w:r w:rsidR="0092747F">
        <w:rPr>
          <w:rFonts w:ascii="Times New Roman" w:hAnsi="Times New Roman"/>
        </w:rPr>
        <w:t>M</w:t>
      </w:r>
      <w:r w:rsidRPr="0092747F">
        <w:rPr>
          <w:rFonts w:ascii="Times New Roman" w:hAnsi="Times New Roman"/>
          <w:vertAlign w:val="subscript"/>
        </w:rPr>
        <w:t>age</w:t>
      </w:r>
      <w:r w:rsidRPr="002208A3">
        <w:rPr>
          <w:rFonts w:ascii="Times New Roman" w:hAnsi="Times New Roman"/>
        </w:rPr>
        <w:t xml:space="preserve"> = </w:t>
      </w:r>
      <w:r>
        <w:rPr>
          <w:rFonts w:ascii="Times New Roman" w:hAnsi="Times New Roman"/>
        </w:rPr>
        <w:t>24.9</w:t>
      </w:r>
      <w:r w:rsidRPr="002208A3">
        <w:rPr>
          <w:rFonts w:ascii="Times New Roman" w:hAnsi="Times New Roman"/>
        </w:rPr>
        <w:t>) were recruited for a</w:t>
      </w:r>
      <w:r w:rsidR="00BB5794">
        <w:rPr>
          <w:rFonts w:ascii="Times New Roman" w:hAnsi="Times New Roman"/>
        </w:rPr>
        <w:t>n in-person</w:t>
      </w:r>
      <w:r w:rsidRPr="002208A3">
        <w:rPr>
          <w:rFonts w:ascii="Times New Roman" w:hAnsi="Times New Roman"/>
        </w:rPr>
        <w:t xml:space="preserve"> study on </w:t>
      </w:r>
      <w:r>
        <w:rPr>
          <w:rFonts w:ascii="Times New Roman" w:hAnsi="Times New Roman"/>
        </w:rPr>
        <w:t>Business Choices Under Uncertainty</w:t>
      </w:r>
      <w:r w:rsidRPr="002208A3">
        <w:rPr>
          <w:rFonts w:ascii="Times New Roman" w:hAnsi="Times New Roman"/>
        </w:rPr>
        <w:t xml:space="preserve">. Participants' compensation depended entirely on the outcome of the experiment, as described below. </w:t>
      </w:r>
      <w:r>
        <w:rPr>
          <w:rFonts w:ascii="Times New Roman" w:hAnsi="Times New Roman"/>
        </w:rPr>
        <w:t xml:space="preserve">We </w:t>
      </w:r>
      <w:r w:rsidRPr="002208A3">
        <w:rPr>
          <w:rFonts w:ascii="Times New Roman" w:hAnsi="Times New Roman"/>
        </w:rPr>
        <w:t xml:space="preserve">used an experimental currency, the Indonesian Rupiah (Rp); this is done because larger numeric values have been found to motivate participants even if objective values remain unchanged </w:t>
      </w:r>
      <w:r w:rsidRPr="002208A3">
        <w:rPr>
          <w:rFonts w:ascii="Times New Roman" w:hAnsi="Times New Roman"/>
        </w:rPr>
        <w:fldChar w:fldCharType="begin"/>
      </w:r>
      <w:r>
        <w:rPr>
          <w:rFonts w:ascii="Times New Roman" w:hAnsi="Times New Roman"/>
        </w:rPr>
        <w:instrText xml:space="preserve"> ADDIN EN.CITE &lt;EndNote&gt;&lt;Cite&gt;&lt;Author&gt;Furlong&lt;/Author&gt;&lt;Year&gt;2008&lt;/Year&gt;&lt;RecNum&gt;140&lt;/RecNum&gt;&lt;DisplayText&gt;(Furlong &amp;amp; Opfer, 2008)&lt;/DisplayText&gt;&lt;record&gt;&lt;rec-number&gt;140&lt;/rec-number&gt;&lt;foreign-keys&gt;&lt;key app="EN" db-id="ps05de90q9zfz1eprrsxd9entrap2v5x99e0" timestamp="0"&gt;140&lt;/key&gt;&lt;/foreign-keys&gt;&lt;ref-type name="Journal Article"&gt;17&lt;/ref-type&gt;&lt;contributors&gt;&lt;authors&gt;&lt;author&gt;Furlong, Ellen E.&lt;/author&gt;&lt;author&gt;Opfer, John E.&lt;/author&gt;&lt;/authors&gt;&lt;/contributors&gt;&lt;titles&gt;&lt;title&gt;Cognitive Constraints on How Economic Rewards Affect Cooperation&lt;/title&gt;&lt;secondary-title&gt;Psychological Science&lt;/secondary-title&gt;&lt;/titles&gt;&lt;periodical&gt;&lt;full-title&gt;Psychological Science&lt;/full-title&gt;&lt;/periodical&gt;&lt;pages&gt;11-16&lt;/pages&gt;&lt;volume&gt;20&lt;/volume&gt;&lt;number&gt;1&lt;/number&gt;&lt;dates&gt;&lt;year&gt;2008&lt;/year&gt;&lt;/dates&gt;&lt;urls&gt;&lt;/urls&gt;&lt;/record&gt;&lt;/Cite&gt;&lt;/EndNote&gt;</w:instrText>
      </w:r>
      <w:r w:rsidRPr="002208A3">
        <w:rPr>
          <w:rFonts w:ascii="Times New Roman" w:hAnsi="Times New Roman"/>
        </w:rPr>
        <w:fldChar w:fldCharType="separate"/>
      </w:r>
      <w:r>
        <w:rPr>
          <w:rFonts w:ascii="Times New Roman" w:hAnsi="Times New Roman"/>
          <w:noProof/>
        </w:rPr>
        <w:t>(Furlong &amp; Opfer, 2008)</w:t>
      </w:r>
      <w:r w:rsidRPr="002208A3">
        <w:rPr>
          <w:rFonts w:ascii="Times New Roman" w:hAnsi="Times New Roman"/>
        </w:rPr>
        <w:fldChar w:fldCharType="end"/>
      </w:r>
      <w:r w:rsidRPr="002208A3">
        <w:rPr>
          <w:rFonts w:ascii="Times New Roman" w:hAnsi="Times New Roman"/>
        </w:rPr>
        <w:t xml:space="preserve">. At the end of the study, Rp were converted to dollars at the rate of </w:t>
      </w:r>
      <w:r>
        <w:rPr>
          <w:rFonts w:ascii="Times New Roman" w:hAnsi="Times New Roman"/>
        </w:rPr>
        <w:t>13,632</w:t>
      </w:r>
      <w:r w:rsidRPr="002208A3">
        <w:rPr>
          <w:rFonts w:ascii="Times New Roman" w:hAnsi="Times New Roman"/>
        </w:rPr>
        <w:t xml:space="preserve"> Rp = 1</w:t>
      </w:r>
      <w:r>
        <w:rPr>
          <w:rFonts w:ascii="Times New Roman" w:hAnsi="Times New Roman"/>
        </w:rPr>
        <w:t xml:space="preserve"> CAD</w:t>
      </w:r>
      <w:r w:rsidRPr="002208A3">
        <w:rPr>
          <w:rFonts w:ascii="Times New Roman" w:hAnsi="Times New Roman"/>
        </w:rPr>
        <w:t xml:space="preserve">, which was the actual exchange rate at the time the study was designed. </w:t>
      </w:r>
    </w:p>
    <w:p w14:paraId="09C5A99A" w14:textId="4694F530" w:rsidR="004532A8" w:rsidRDefault="004532A8" w:rsidP="004532A8">
      <w:pPr>
        <w:spacing w:line="480" w:lineRule="auto"/>
        <w:rPr>
          <w:rFonts w:ascii="Times New Roman" w:hAnsi="Times New Roman"/>
        </w:rPr>
      </w:pPr>
      <w:r w:rsidRPr="002208A3">
        <w:rPr>
          <w:rFonts w:ascii="Times New Roman" w:hAnsi="Times New Roman"/>
        </w:rPr>
        <w:tab/>
        <w:t xml:space="preserve">Each participant was seated at a computer </w:t>
      </w:r>
      <w:r w:rsidR="005F3B56">
        <w:rPr>
          <w:rFonts w:ascii="Times New Roman" w:hAnsi="Times New Roman"/>
        </w:rPr>
        <w:t>in a private room</w:t>
      </w:r>
      <w:r w:rsidRPr="002208A3">
        <w:rPr>
          <w:rFonts w:ascii="Times New Roman" w:hAnsi="Times New Roman"/>
        </w:rPr>
        <w:t xml:space="preserve">. </w:t>
      </w:r>
      <w:r w:rsidR="005F3B56">
        <w:rPr>
          <w:rFonts w:ascii="Times New Roman" w:hAnsi="Times New Roman"/>
        </w:rPr>
        <w:t xml:space="preserve">Participants were instructed to say all of their thoughts aloud as they completed the study, even those that </w:t>
      </w:r>
      <w:r w:rsidR="005F3B56">
        <w:rPr>
          <w:rFonts w:ascii="Times New Roman" w:hAnsi="Times New Roman"/>
        </w:rPr>
        <w:lastRenderedPageBreak/>
        <w:t xml:space="preserve">might seem silly or irrelevant. After the experimenter left the room, they listened briefly at the door, to be sure the participant was talking aloud. </w:t>
      </w:r>
      <w:r w:rsidRPr="002208A3">
        <w:rPr>
          <w:rFonts w:ascii="Times New Roman" w:hAnsi="Times New Roman"/>
        </w:rPr>
        <w:t xml:space="preserve">After agreeing to the consent form, participants read 5 pages of instructions. They learned that they would play a scenario in which their payment would depend on their choices as well as </w:t>
      </w:r>
      <w:r>
        <w:rPr>
          <w:rFonts w:ascii="Times New Roman" w:hAnsi="Times New Roman"/>
        </w:rPr>
        <w:t>random chance</w:t>
      </w:r>
      <w:r w:rsidRPr="002208A3">
        <w:rPr>
          <w:rFonts w:ascii="Times New Roman" w:hAnsi="Times New Roman"/>
        </w:rPr>
        <w:t xml:space="preserve">. They were told to imagine they </w:t>
      </w:r>
      <w:r>
        <w:rPr>
          <w:rFonts w:ascii="Times New Roman" w:hAnsi="Times New Roman"/>
        </w:rPr>
        <w:t>held a mining company</w:t>
      </w:r>
      <w:r w:rsidRPr="002208A3">
        <w:rPr>
          <w:rFonts w:ascii="Times New Roman" w:hAnsi="Times New Roman"/>
        </w:rPr>
        <w:t xml:space="preserve"> in Indonesia. Each "</w:t>
      </w:r>
      <w:r>
        <w:rPr>
          <w:rFonts w:ascii="Times New Roman" w:hAnsi="Times New Roman"/>
        </w:rPr>
        <w:t>month</w:t>
      </w:r>
      <w:r w:rsidRPr="002208A3">
        <w:rPr>
          <w:rFonts w:ascii="Times New Roman" w:hAnsi="Times New Roman"/>
        </w:rPr>
        <w:t>" (</w:t>
      </w:r>
      <w:proofErr w:type="spellStart"/>
      <w:r w:rsidRPr="002208A3">
        <w:rPr>
          <w:rFonts w:ascii="Times New Roman" w:hAnsi="Times New Roman"/>
        </w:rPr>
        <w:t>ie</w:t>
      </w:r>
      <w:proofErr w:type="spellEnd"/>
      <w:r w:rsidRPr="002208A3">
        <w:rPr>
          <w:rFonts w:ascii="Times New Roman" w:hAnsi="Times New Roman"/>
        </w:rPr>
        <w:t>, game round), they would earn 8,500 Rp from their</w:t>
      </w:r>
      <w:r>
        <w:rPr>
          <w:rFonts w:ascii="Times New Roman" w:hAnsi="Times New Roman"/>
        </w:rPr>
        <w:t xml:space="preserve"> sales</w:t>
      </w:r>
      <w:r w:rsidRPr="002208A3">
        <w:rPr>
          <w:rFonts w:ascii="Times New Roman" w:hAnsi="Times New Roman"/>
        </w:rPr>
        <w:t xml:space="preserve">. </w:t>
      </w:r>
      <w:r>
        <w:rPr>
          <w:rFonts w:ascii="Times New Roman" w:hAnsi="Times New Roman"/>
        </w:rPr>
        <w:t xml:space="preserve">They had the choice of investing in either the “Known” or “Unknown” regions. </w:t>
      </w:r>
    </w:p>
    <w:p w14:paraId="7F083C74" w14:textId="77777777" w:rsidR="004532A8" w:rsidRDefault="004532A8" w:rsidP="004532A8">
      <w:pPr>
        <w:spacing w:line="480" w:lineRule="auto"/>
        <w:rPr>
          <w:rFonts w:ascii="Times New Roman" w:hAnsi="Times New Roman"/>
        </w:rPr>
      </w:pPr>
      <w:r>
        <w:rPr>
          <w:rFonts w:ascii="Times New Roman" w:hAnsi="Times New Roman"/>
        </w:rPr>
        <w:t xml:space="preserve">The participants were informed that </w:t>
      </w:r>
    </w:p>
    <w:p w14:paraId="7A04213A" w14:textId="77777777" w:rsidR="004532A8" w:rsidRDefault="004532A8" w:rsidP="004532A8">
      <w:pPr>
        <w:spacing w:line="480" w:lineRule="auto"/>
        <w:ind w:left="720"/>
        <w:rPr>
          <w:rFonts w:ascii="Times New Roman" w:hAnsi="Times New Roman"/>
        </w:rPr>
      </w:pPr>
      <w:r>
        <w:rPr>
          <w:rFonts w:ascii="Times New Roman" w:hAnsi="Times New Roman"/>
        </w:rPr>
        <w:t>“I</w:t>
      </w:r>
      <w:r w:rsidRPr="008F0685">
        <w:rPr>
          <w:rFonts w:ascii="Times New Roman" w:hAnsi="Times New Roman"/>
        </w:rPr>
        <w:t>n the Known regions, the conditions are stable, and you will pay a fixed amount of 1,400 Rp for maintenance that month. In the Unknown regions, the conditions are uncertain. There is a 4% chance that you will pay 40,000 Rp for maintenance that month, otherwise you will pay nothing that month.</w:t>
      </w:r>
      <w:r>
        <w:rPr>
          <w:rFonts w:ascii="Times New Roman" w:hAnsi="Times New Roman"/>
        </w:rPr>
        <w:t>”</w:t>
      </w:r>
      <w:r w:rsidRPr="008F0685">
        <w:rPr>
          <w:rFonts w:ascii="Times New Roman" w:hAnsi="Times New Roman"/>
        </w:rPr>
        <w:t xml:space="preserve">  </w:t>
      </w:r>
      <w:r w:rsidRPr="002208A3">
        <w:rPr>
          <w:rFonts w:ascii="Times New Roman" w:hAnsi="Times New Roman"/>
        </w:rPr>
        <w:tab/>
      </w:r>
    </w:p>
    <w:p w14:paraId="0B7BAE47" w14:textId="42907AD2" w:rsidR="004532A8" w:rsidRPr="002208A3" w:rsidRDefault="00BB5794" w:rsidP="004532A8">
      <w:pPr>
        <w:spacing w:line="480" w:lineRule="auto"/>
        <w:rPr>
          <w:rFonts w:ascii="Times New Roman" w:hAnsi="Times New Roman"/>
        </w:rPr>
      </w:pPr>
      <w:r>
        <w:rPr>
          <w:rFonts w:ascii="Times New Roman" w:hAnsi="Times New Roman"/>
        </w:rPr>
        <w:t>Thus, p</w:t>
      </w:r>
      <w:r w:rsidR="004532A8" w:rsidRPr="002208A3">
        <w:rPr>
          <w:rFonts w:ascii="Times New Roman" w:hAnsi="Times New Roman"/>
        </w:rPr>
        <w:t xml:space="preserve">articipants learned they had the option each </w:t>
      </w:r>
      <w:r w:rsidR="004532A8">
        <w:rPr>
          <w:rFonts w:ascii="Times New Roman" w:hAnsi="Times New Roman"/>
        </w:rPr>
        <w:t>month</w:t>
      </w:r>
      <w:r w:rsidR="004532A8" w:rsidRPr="002208A3">
        <w:rPr>
          <w:rFonts w:ascii="Times New Roman" w:hAnsi="Times New Roman"/>
        </w:rPr>
        <w:t xml:space="preserve"> to invest in </w:t>
      </w:r>
      <w:r w:rsidR="004532A8">
        <w:rPr>
          <w:rFonts w:ascii="Times New Roman" w:hAnsi="Times New Roman"/>
        </w:rPr>
        <w:t>the</w:t>
      </w:r>
      <w:r w:rsidR="004532A8" w:rsidRPr="002208A3">
        <w:rPr>
          <w:rFonts w:ascii="Times New Roman" w:hAnsi="Times New Roman"/>
        </w:rPr>
        <w:t xml:space="preserve"> safe, though </w:t>
      </w:r>
      <w:r w:rsidR="004532A8">
        <w:rPr>
          <w:rFonts w:ascii="Times New Roman" w:hAnsi="Times New Roman"/>
        </w:rPr>
        <w:t>costly region</w:t>
      </w:r>
      <w:r w:rsidR="004532A8" w:rsidRPr="002208A3">
        <w:rPr>
          <w:rFonts w:ascii="Times New Roman" w:hAnsi="Times New Roman"/>
        </w:rPr>
        <w:t>, which would eliminate the risk of</w:t>
      </w:r>
      <w:r>
        <w:rPr>
          <w:rFonts w:ascii="Times New Roman" w:hAnsi="Times New Roman"/>
        </w:rPr>
        <w:t xml:space="preserve"> a</w:t>
      </w:r>
      <w:r w:rsidR="004532A8" w:rsidRPr="002208A3">
        <w:rPr>
          <w:rFonts w:ascii="Times New Roman" w:hAnsi="Times New Roman"/>
        </w:rPr>
        <w:t xml:space="preserve"> </w:t>
      </w:r>
      <w:r w:rsidR="004532A8">
        <w:rPr>
          <w:rFonts w:ascii="Times New Roman" w:hAnsi="Times New Roman"/>
        </w:rPr>
        <w:t>big loss happening</w:t>
      </w:r>
      <w:r w:rsidR="004532A8" w:rsidRPr="002208A3">
        <w:rPr>
          <w:rFonts w:ascii="Times New Roman" w:hAnsi="Times New Roman"/>
        </w:rPr>
        <w:t xml:space="preserve">. Participants learned </w:t>
      </w:r>
      <w:r w:rsidR="004532A8">
        <w:rPr>
          <w:rFonts w:ascii="Times New Roman" w:hAnsi="Times New Roman"/>
        </w:rPr>
        <w:t xml:space="preserve">that they </w:t>
      </w:r>
      <w:r w:rsidR="004532A8" w:rsidRPr="002208A3">
        <w:rPr>
          <w:rFonts w:ascii="Times New Roman" w:hAnsi="Times New Roman"/>
        </w:rPr>
        <w:t xml:space="preserve">would play </w:t>
      </w:r>
      <w:r w:rsidR="004532A8">
        <w:rPr>
          <w:rFonts w:ascii="Times New Roman" w:hAnsi="Times New Roman"/>
        </w:rPr>
        <w:t>four blocks of</w:t>
      </w:r>
      <w:r w:rsidR="004532A8" w:rsidRPr="002208A3">
        <w:rPr>
          <w:rFonts w:ascii="Times New Roman" w:hAnsi="Times New Roman"/>
        </w:rPr>
        <w:t xml:space="preserve"> 20-</w:t>
      </w:r>
      <w:r w:rsidR="004532A8">
        <w:rPr>
          <w:rFonts w:ascii="Times New Roman" w:hAnsi="Times New Roman"/>
        </w:rPr>
        <w:t>round</w:t>
      </w:r>
      <w:r w:rsidR="004532A8" w:rsidRPr="002208A3">
        <w:rPr>
          <w:rFonts w:ascii="Times New Roman" w:hAnsi="Times New Roman"/>
        </w:rPr>
        <w:t xml:space="preserve"> session</w:t>
      </w:r>
      <w:r w:rsidR="004532A8">
        <w:rPr>
          <w:rFonts w:ascii="Times New Roman" w:hAnsi="Times New Roman"/>
        </w:rPr>
        <w:t>s</w:t>
      </w:r>
      <w:r w:rsidR="004532A8" w:rsidRPr="002208A3">
        <w:rPr>
          <w:rFonts w:ascii="Times New Roman" w:hAnsi="Times New Roman"/>
        </w:rPr>
        <w:t xml:space="preserve">, one of which would be randomly selected and have all rounds paid out for real money (converted to dollars). Participants in the </w:t>
      </w:r>
      <w:r w:rsidR="004532A8">
        <w:rPr>
          <w:rFonts w:ascii="Times New Roman" w:hAnsi="Times New Roman"/>
        </w:rPr>
        <w:t>repeated</w:t>
      </w:r>
      <w:r>
        <w:rPr>
          <w:rFonts w:ascii="Times New Roman" w:hAnsi="Times New Roman"/>
        </w:rPr>
        <w:t xml:space="preserve"> </w:t>
      </w:r>
      <w:r w:rsidR="00C40E99">
        <w:rPr>
          <w:rFonts w:ascii="Times New Roman" w:hAnsi="Times New Roman"/>
        </w:rPr>
        <w:t>(</w:t>
      </w:r>
      <w:r>
        <w:rPr>
          <w:rFonts w:ascii="Times New Roman" w:hAnsi="Times New Roman"/>
        </w:rPr>
        <w:t>control</w:t>
      </w:r>
      <w:r w:rsidR="00C40E99">
        <w:rPr>
          <w:rFonts w:ascii="Times New Roman" w:hAnsi="Times New Roman"/>
        </w:rPr>
        <w:t>)</w:t>
      </w:r>
      <w:r w:rsidR="004532A8" w:rsidRPr="002208A3">
        <w:rPr>
          <w:rFonts w:ascii="Times New Roman" w:hAnsi="Times New Roman"/>
        </w:rPr>
        <w:t xml:space="preserve"> condition were told they would play one round at a time, while those in the </w:t>
      </w:r>
      <w:r w:rsidR="004079EC">
        <w:rPr>
          <w:rFonts w:ascii="Times New Roman" w:hAnsi="Times New Roman"/>
        </w:rPr>
        <w:t>precommitment</w:t>
      </w:r>
      <w:r w:rsidR="004532A8" w:rsidRPr="002208A3">
        <w:rPr>
          <w:rFonts w:ascii="Times New Roman" w:hAnsi="Times New Roman"/>
        </w:rPr>
        <w:t xml:space="preserve"> condition learned that they would precommit their choices for all 20 rounds in a session. </w:t>
      </w:r>
    </w:p>
    <w:p w14:paraId="22D9852E" w14:textId="0826B5AE" w:rsidR="004532A8" w:rsidRPr="002208A3" w:rsidRDefault="004532A8" w:rsidP="004532A8">
      <w:pPr>
        <w:spacing w:line="480" w:lineRule="auto"/>
        <w:rPr>
          <w:rFonts w:ascii="Times New Roman" w:hAnsi="Times New Roman"/>
        </w:rPr>
      </w:pPr>
      <w:r w:rsidRPr="002208A3">
        <w:rPr>
          <w:rFonts w:ascii="Times New Roman" w:hAnsi="Times New Roman"/>
        </w:rPr>
        <w:tab/>
        <w:t>Participants were told that while average payments were around $1</w:t>
      </w:r>
      <w:r>
        <w:rPr>
          <w:rFonts w:ascii="Times New Roman" w:hAnsi="Times New Roman"/>
        </w:rPr>
        <w:t>0</w:t>
      </w:r>
      <w:r w:rsidRPr="002208A3">
        <w:rPr>
          <w:rFonts w:ascii="Times New Roman" w:hAnsi="Times New Roman"/>
        </w:rPr>
        <w:t xml:space="preserve">, it was theoretically possible (though unlikely) to finish with negative money, and if this </w:t>
      </w:r>
      <w:proofErr w:type="gramStart"/>
      <w:r w:rsidRPr="002208A3">
        <w:rPr>
          <w:rFonts w:ascii="Times New Roman" w:hAnsi="Times New Roman"/>
        </w:rPr>
        <w:t>happened</w:t>
      </w:r>
      <w:proofErr w:type="gramEnd"/>
      <w:r w:rsidRPr="002208A3">
        <w:rPr>
          <w:rFonts w:ascii="Times New Roman" w:hAnsi="Times New Roman"/>
        </w:rPr>
        <w:t xml:space="preserve"> they would have to stay after the study and complete additional surveys at the rate of 25 cents </w:t>
      </w:r>
      <w:r w:rsidR="00247A4A">
        <w:rPr>
          <w:rFonts w:ascii="Times New Roman" w:hAnsi="Times New Roman"/>
        </w:rPr>
        <w:t>per</w:t>
      </w:r>
      <w:r w:rsidRPr="002208A3">
        <w:rPr>
          <w:rFonts w:ascii="Times New Roman" w:hAnsi="Times New Roman"/>
        </w:rPr>
        <w:t xml:space="preserve"> minute to pay back their debt</w:t>
      </w:r>
      <w:r>
        <w:rPr>
          <w:rFonts w:ascii="Times New Roman" w:hAnsi="Times New Roman"/>
        </w:rPr>
        <w:t>.</w:t>
      </w:r>
    </w:p>
    <w:p w14:paraId="0DD6EFB5" w14:textId="00AA63B5" w:rsidR="004532A8" w:rsidRDefault="004532A8" w:rsidP="004532A8">
      <w:pPr>
        <w:spacing w:line="480" w:lineRule="auto"/>
        <w:rPr>
          <w:rFonts w:ascii="Times New Roman" w:hAnsi="Times New Roman"/>
        </w:rPr>
      </w:pPr>
      <w:r w:rsidRPr="002208A3">
        <w:rPr>
          <w:rFonts w:ascii="Times New Roman" w:hAnsi="Times New Roman"/>
        </w:rPr>
        <w:lastRenderedPageBreak/>
        <w:tab/>
        <w:t xml:space="preserve">After reading the instructions, participants saw a payoff matrix summarizing the contingencies (see </w:t>
      </w:r>
      <w:r>
        <w:rPr>
          <w:rFonts w:ascii="Times New Roman" w:hAnsi="Times New Roman"/>
        </w:rPr>
        <w:t xml:space="preserve">Table </w:t>
      </w:r>
      <w:r w:rsidR="00FD125C">
        <w:rPr>
          <w:rFonts w:ascii="Times New Roman" w:hAnsi="Times New Roman"/>
        </w:rPr>
        <w:t>1</w:t>
      </w:r>
      <w:r w:rsidRPr="002208A3">
        <w:rPr>
          <w:rFonts w:ascii="Times New Roman" w:hAnsi="Times New Roman"/>
        </w:rPr>
        <w:t xml:space="preserve">). </w:t>
      </w:r>
    </w:p>
    <w:p w14:paraId="09B6BCDD" w14:textId="77777777" w:rsidR="004532A8" w:rsidRPr="002208A3" w:rsidRDefault="004532A8" w:rsidP="004532A8">
      <w:pPr>
        <w:spacing w:line="480" w:lineRule="auto"/>
        <w:rPr>
          <w:rFonts w:ascii="Times New Roman" w:hAnsi="Times New Roman"/>
        </w:rPr>
      </w:pPr>
      <w:r w:rsidRPr="002208A3">
        <w:rPr>
          <w:rFonts w:ascii="Times New Roman" w:hAnsi="Times New Roman"/>
        </w:rPr>
        <w:t>Participants then took a 4-item comprehension test. If participants got any items on the test wrong, they had to re-read the instructions and take the test again. Every page of the experiment had a note at the bottom that said</w:t>
      </w:r>
      <w:r>
        <w:rPr>
          <w:rFonts w:ascii="Times New Roman" w:hAnsi="Times New Roman"/>
        </w:rPr>
        <w:t>:</w:t>
      </w:r>
      <w:r w:rsidRPr="002208A3">
        <w:rPr>
          <w:rFonts w:ascii="Times New Roman" w:hAnsi="Times New Roman"/>
        </w:rPr>
        <w:t xml:space="preserve"> "If you have questions at any time, please ask the experimenter." Participants did indeed ask questions, and the experimenter assisted as necessary.</w:t>
      </w:r>
    </w:p>
    <w:p w14:paraId="4278100D" w14:textId="77777777" w:rsidR="004532A8" w:rsidRPr="002208A3" w:rsidRDefault="004532A8" w:rsidP="004532A8">
      <w:pPr>
        <w:spacing w:line="480" w:lineRule="auto"/>
        <w:rPr>
          <w:rFonts w:ascii="Times New Roman" w:hAnsi="Times New Roman"/>
        </w:rPr>
      </w:pPr>
    </w:p>
    <w:p w14:paraId="130C8B2E" w14:textId="23BFC30A" w:rsidR="004532A8" w:rsidRDefault="004532A8" w:rsidP="004532A8">
      <w:pPr>
        <w:spacing w:line="480" w:lineRule="auto"/>
        <w:rPr>
          <w:rFonts w:ascii="Times New Roman" w:hAnsi="Times New Roman"/>
          <w:i/>
        </w:rPr>
      </w:pPr>
      <w:r>
        <w:rPr>
          <w:rFonts w:ascii="Times New Roman" w:hAnsi="Times New Roman"/>
          <w:i/>
        </w:rPr>
        <w:t xml:space="preserve">Table </w:t>
      </w:r>
      <w:r w:rsidR="00DB4815">
        <w:rPr>
          <w:rFonts w:ascii="Times New Roman" w:hAnsi="Times New Roman"/>
          <w:i/>
        </w:rPr>
        <w:t>1</w:t>
      </w:r>
      <w:r w:rsidRPr="002208A3">
        <w:rPr>
          <w:rFonts w:ascii="Times New Roman" w:hAnsi="Times New Roman"/>
          <w:i/>
        </w:rPr>
        <w:t xml:space="preserve">: Payoff matrix in </w:t>
      </w:r>
      <w:r>
        <w:rPr>
          <w:rFonts w:ascii="Times New Roman" w:hAnsi="Times New Roman"/>
          <w:i/>
        </w:rPr>
        <w:t>Study 1.</w:t>
      </w:r>
    </w:p>
    <w:p w14:paraId="63442FFC" w14:textId="77777777" w:rsidR="004532A8" w:rsidRPr="000E5A8E" w:rsidRDefault="004532A8" w:rsidP="004532A8">
      <w:pPr>
        <w:shd w:val="clear" w:color="auto" w:fill="FFFFFF"/>
        <w:rPr>
          <w:rFonts w:ascii="Helvetica" w:hAnsi="Helvetica" w:cs="Helvetica"/>
          <w:color w:val="404040"/>
          <w:sz w:val="23"/>
          <w:szCs w:val="23"/>
          <w:lang w:val="en-CA" w:eastAsia="en-CA"/>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80"/>
        <w:gridCol w:w="7050"/>
      </w:tblGrid>
      <w:tr w:rsidR="004532A8" w:rsidRPr="000E5A8E" w14:paraId="18DAE2A8" w14:textId="77777777" w:rsidTr="00C85417">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F1D34D" w14:textId="77777777" w:rsidR="004532A8" w:rsidRPr="00C85417" w:rsidRDefault="004532A8" w:rsidP="004079EC">
            <w:pPr>
              <w:spacing w:line="480" w:lineRule="auto"/>
              <w:rPr>
                <w:rFonts w:asciiTheme="majorBidi" w:hAnsiTheme="majorBidi" w:cstheme="majorBidi"/>
                <w:color w:val="000000" w:themeColor="text1"/>
                <w:sz w:val="23"/>
                <w:szCs w:val="23"/>
                <w:lang w:val="en-CA" w:eastAsia="en-CA"/>
              </w:rPr>
            </w:pPr>
            <w:r w:rsidRPr="00C85417">
              <w:rPr>
                <w:rFonts w:asciiTheme="majorBidi" w:hAnsiTheme="majorBidi" w:cstheme="majorBidi"/>
                <w:b/>
                <w:bCs/>
                <w:color w:val="000000" w:themeColor="text1"/>
                <w:sz w:val="23"/>
                <w:szCs w:val="23"/>
                <w:lang w:val="en-CA" w:eastAsia="en-CA"/>
              </w:rPr>
              <w:t>Known region</w:t>
            </w:r>
          </w:p>
        </w:tc>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441B5F" w14:textId="61EB8154" w:rsidR="004532A8" w:rsidRPr="00C147DF" w:rsidRDefault="004079EC" w:rsidP="004079EC">
            <w:pPr>
              <w:spacing w:line="480" w:lineRule="auto"/>
              <w:rPr>
                <w:rFonts w:asciiTheme="majorBidi" w:hAnsiTheme="majorBidi" w:cstheme="majorBidi"/>
                <w:color w:val="000000" w:themeColor="text1"/>
                <w:sz w:val="23"/>
                <w:szCs w:val="23"/>
                <w:lang w:val="en-CA" w:eastAsia="en-CA"/>
              </w:rPr>
            </w:pPr>
            <w:r w:rsidRPr="00C147DF">
              <w:rPr>
                <w:rFonts w:asciiTheme="majorBidi" w:hAnsiTheme="majorBidi" w:cstheme="majorBidi"/>
                <w:color w:val="000000" w:themeColor="text1"/>
                <w:sz w:val="23"/>
                <w:szCs w:val="23"/>
                <w:lang w:val="en-CA" w:eastAsia="en-CA"/>
              </w:rPr>
              <w:t xml:space="preserve"> </w:t>
            </w:r>
            <w:r w:rsidR="004532A8" w:rsidRPr="00C147DF">
              <w:rPr>
                <w:rFonts w:asciiTheme="majorBidi" w:hAnsiTheme="majorBidi" w:cstheme="majorBidi"/>
                <w:color w:val="000000" w:themeColor="text1"/>
                <w:sz w:val="23"/>
                <w:szCs w:val="23"/>
                <w:lang w:val="en-CA" w:eastAsia="en-CA"/>
              </w:rPr>
              <w:t>You definitely lose 1,400 Rp, and have a 0% chance of the large loss occurring.</w:t>
            </w:r>
          </w:p>
        </w:tc>
      </w:tr>
      <w:tr w:rsidR="004532A8" w:rsidRPr="000E5A8E" w14:paraId="2014BF10" w14:textId="77777777" w:rsidTr="00C85417">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360406" w14:textId="24EA89B9" w:rsidR="004532A8" w:rsidRPr="00C85417" w:rsidRDefault="004532A8" w:rsidP="004079EC">
            <w:pPr>
              <w:spacing w:line="480" w:lineRule="auto"/>
              <w:rPr>
                <w:rFonts w:asciiTheme="majorBidi" w:hAnsiTheme="majorBidi" w:cstheme="majorBidi"/>
                <w:color w:val="000000" w:themeColor="text1"/>
                <w:sz w:val="23"/>
                <w:szCs w:val="23"/>
                <w:lang w:val="en-CA" w:eastAsia="en-CA"/>
              </w:rPr>
            </w:pPr>
            <w:r w:rsidRPr="00C85417">
              <w:rPr>
                <w:rFonts w:asciiTheme="majorBidi" w:hAnsiTheme="majorBidi" w:cstheme="majorBidi"/>
                <w:b/>
                <w:bCs/>
                <w:color w:val="000000" w:themeColor="text1"/>
                <w:sz w:val="23"/>
                <w:szCs w:val="23"/>
                <w:lang w:val="en-CA" w:eastAsia="en-CA"/>
              </w:rPr>
              <w:t>Unknown region</w:t>
            </w:r>
            <w:r w:rsidR="004079EC">
              <w:rPr>
                <w:rFonts w:asciiTheme="majorBidi" w:hAnsiTheme="majorBidi" w:cstheme="majorBidi"/>
                <w:b/>
                <w:bCs/>
                <w:color w:val="000000" w:themeColor="text1"/>
                <w:sz w:val="23"/>
                <w:szCs w:val="23"/>
                <w:lang w:val="en-CA" w:eastAsia="en-CA"/>
              </w:rPr>
              <w:t xml:space="preserve">   </w:t>
            </w:r>
          </w:p>
        </w:tc>
        <w:tc>
          <w:tcPr>
            <w:tcW w:w="79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452E79" w14:textId="26428B6C" w:rsidR="004532A8" w:rsidRPr="00C147DF" w:rsidRDefault="004079EC" w:rsidP="004079EC">
            <w:pPr>
              <w:spacing w:line="480" w:lineRule="auto"/>
              <w:rPr>
                <w:rFonts w:asciiTheme="majorBidi" w:hAnsiTheme="majorBidi" w:cstheme="majorBidi"/>
                <w:color w:val="000000" w:themeColor="text1"/>
                <w:sz w:val="23"/>
                <w:szCs w:val="23"/>
                <w:lang w:val="en-CA" w:eastAsia="en-CA"/>
              </w:rPr>
            </w:pPr>
            <w:r w:rsidRPr="00C147DF">
              <w:rPr>
                <w:rFonts w:asciiTheme="majorBidi" w:hAnsiTheme="majorBidi" w:cstheme="majorBidi"/>
                <w:color w:val="000000" w:themeColor="text1"/>
                <w:sz w:val="23"/>
                <w:szCs w:val="23"/>
                <w:lang w:val="en-CA" w:eastAsia="en-CA"/>
              </w:rPr>
              <w:t xml:space="preserve"> </w:t>
            </w:r>
            <w:r w:rsidR="004532A8" w:rsidRPr="00C147DF">
              <w:rPr>
                <w:rFonts w:asciiTheme="majorBidi" w:hAnsiTheme="majorBidi" w:cstheme="majorBidi"/>
                <w:color w:val="000000" w:themeColor="text1"/>
                <w:sz w:val="23"/>
                <w:szCs w:val="23"/>
                <w:lang w:val="en-CA" w:eastAsia="en-CA"/>
              </w:rPr>
              <w:t>You have a 4% chance of losing 40,000 Rp and a 96% chance of losing 0 Rp. </w:t>
            </w:r>
          </w:p>
        </w:tc>
      </w:tr>
    </w:tbl>
    <w:p w14:paraId="56F279E4" w14:textId="77777777" w:rsidR="004532A8" w:rsidRPr="000E5A8E" w:rsidRDefault="004532A8" w:rsidP="004532A8">
      <w:pPr>
        <w:shd w:val="clear" w:color="auto" w:fill="FFFFFF"/>
        <w:rPr>
          <w:rFonts w:ascii="Helvetica" w:hAnsi="Helvetica" w:cs="Helvetica"/>
          <w:color w:val="404040"/>
          <w:sz w:val="23"/>
          <w:szCs w:val="23"/>
          <w:lang w:val="en-CA" w:eastAsia="en-CA"/>
        </w:rPr>
      </w:pPr>
      <w:r w:rsidRPr="000E5A8E">
        <w:rPr>
          <w:rFonts w:ascii="Helvetica" w:hAnsi="Helvetica" w:cs="Helvetica"/>
          <w:color w:val="404040"/>
          <w:sz w:val="23"/>
          <w:szCs w:val="23"/>
          <w:lang w:val="en-CA" w:eastAsia="en-CA"/>
        </w:rPr>
        <w:t>              </w:t>
      </w:r>
    </w:p>
    <w:p w14:paraId="2F3AF8B2" w14:textId="77777777" w:rsidR="004532A8" w:rsidRPr="002208A3" w:rsidRDefault="004532A8" w:rsidP="004532A8">
      <w:pPr>
        <w:spacing w:line="480" w:lineRule="auto"/>
        <w:rPr>
          <w:rFonts w:ascii="Times New Roman" w:hAnsi="Times New Roman"/>
        </w:rPr>
      </w:pPr>
    </w:p>
    <w:p w14:paraId="0463887A" w14:textId="6BCCA10A" w:rsidR="004532A8" w:rsidRPr="002208A3" w:rsidRDefault="004532A8" w:rsidP="004532A8">
      <w:pPr>
        <w:spacing w:line="480" w:lineRule="auto"/>
        <w:rPr>
          <w:rFonts w:ascii="Times New Roman" w:hAnsi="Times New Roman"/>
        </w:rPr>
      </w:pPr>
      <w:r w:rsidRPr="002208A3">
        <w:rPr>
          <w:rFonts w:ascii="Times New Roman" w:hAnsi="Times New Roman"/>
        </w:rPr>
        <w:tab/>
        <w:t xml:space="preserve">Participants in the </w:t>
      </w:r>
      <w:r>
        <w:rPr>
          <w:rFonts w:ascii="Times New Roman" w:hAnsi="Times New Roman"/>
        </w:rPr>
        <w:t>repeated</w:t>
      </w:r>
      <w:r w:rsidRPr="002208A3">
        <w:rPr>
          <w:rFonts w:ascii="Times New Roman" w:hAnsi="Times New Roman"/>
        </w:rPr>
        <w:t xml:space="preserve"> condition made a choice </w:t>
      </w:r>
      <w:r>
        <w:rPr>
          <w:rFonts w:ascii="Times New Roman" w:hAnsi="Times New Roman"/>
        </w:rPr>
        <w:t xml:space="preserve">between the known </w:t>
      </w:r>
      <w:r w:rsidR="00BB5794">
        <w:rPr>
          <w:rFonts w:ascii="Times New Roman" w:hAnsi="Times New Roman"/>
        </w:rPr>
        <w:t>and</w:t>
      </w:r>
      <w:r>
        <w:rPr>
          <w:rFonts w:ascii="Times New Roman" w:hAnsi="Times New Roman"/>
        </w:rPr>
        <w:t xml:space="preserve"> unknown regions </w:t>
      </w:r>
      <w:r w:rsidRPr="002208A3">
        <w:rPr>
          <w:rFonts w:ascii="Times New Roman" w:hAnsi="Times New Roman"/>
        </w:rPr>
        <w:t>for the first round, and then got feedback for the first round. The feedback specified their choice, the</w:t>
      </w:r>
      <w:r>
        <w:rPr>
          <w:rFonts w:ascii="Times New Roman" w:hAnsi="Times New Roman"/>
        </w:rPr>
        <w:t xml:space="preserve"> randomly generated number</w:t>
      </w:r>
      <w:r w:rsidRPr="002208A3">
        <w:rPr>
          <w:rFonts w:ascii="Times New Roman" w:hAnsi="Times New Roman"/>
        </w:rPr>
        <w:t xml:space="preserve">, </w:t>
      </w:r>
      <w:r>
        <w:rPr>
          <w:rFonts w:ascii="Times New Roman" w:hAnsi="Times New Roman"/>
        </w:rPr>
        <w:t xml:space="preserve">whether the big loss occurred, </w:t>
      </w:r>
      <w:r w:rsidRPr="002208A3">
        <w:rPr>
          <w:rFonts w:ascii="Times New Roman" w:hAnsi="Times New Roman"/>
        </w:rPr>
        <w:t>and the end result. Participants then made their choice for the second round, got feedback for the second round, and so-on, until they finished all 20 rounds, at which time they saw a summary of the results of all 20 rounds</w:t>
      </w:r>
      <w:r w:rsidR="00C147DF">
        <w:rPr>
          <w:rFonts w:ascii="Times New Roman" w:hAnsi="Times New Roman"/>
        </w:rPr>
        <w:t xml:space="preserve"> from the block</w:t>
      </w:r>
      <w:r w:rsidRPr="002208A3">
        <w:rPr>
          <w:rFonts w:ascii="Times New Roman" w:hAnsi="Times New Roman"/>
        </w:rPr>
        <w:t xml:space="preserve">. Participants in the </w:t>
      </w:r>
      <w:r>
        <w:rPr>
          <w:rFonts w:ascii="Times New Roman" w:hAnsi="Times New Roman"/>
        </w:rPr>
        <w:t>precom</w:t>
      </w:r>
      <w:r w:rsidR="00BB5794">
        <w:rPr>
          <w:rFonts w:ascii="Times New Roman" w:hAnsi="Times New Roman"/>
        </w:rPr>
        <w:t>m</w:t>
      </w:r>
      <w:r>
        <w:rPr>
          <w:rFonts w:ascii="Times New Roman" w:hAnsi="Times New Roman"/>
        </w:rPr>
        <w:t>it</w:t>
      </w:r>
      <w:r w:rsidR="00BB5794">
        <w:rPr>
          <w:rFonts w:ascii="Times New Roman" w:hAnsi="Times New Roman"/>
        </w:rPr>
        <w:t>ment</w:t>
      </w:r>
      <w:r w:rsidRPr="002208A3">
        <w:rPr>
          <w:rFonts w:ascii="Times New Roman" w:hAnsi="Times New Roman"/>
        </w:rPr>
        <w:t xml:space="preserve"> condition first made choices for all 20 rounds at once (</w:t>
      </w:r>
      <w:r w:rsidR="00C147DF">
        <w:rPr>
          <w:rFonts w:ascii="Times New Roman" w:hAnsi="Times New Roman"/>
        </w:rPr>
        <w:t xml:space="preserve">all </w:t>
      </w:r>
      <w:r w:rsidRPr="002208A3">
        <w:rPr>
          <w:rFonts w:ascii="Times New Roman" w:hAnsi="Times New Roman"/>
        </w:rPr>
        <w:t xml:space="preserve">on the same page). They then saw round by round feedback for </w:t>
      </w:r>
      <w:r w:rsidR="00BB5794">
        <w:rPr>
          <w:rFonts w:ascii="Times New Roman" w:hAnsi="Times New Roman"/>
        </w:rPr>
        <w:t>each</w:t>
      </w:r>
      <w:r w:rsidRPr="002208A3">
        <w:rPr>
          <w:rFonts w:ascii="Times New Roman" w:hAnsi="Times New Roman"/>
        </w:rPr>
        <w:t xml:space="preserve"> </w:t>
      </w:r>
      <w:r w:rsidR="00BB5794">
        <w:rPr>
          <w:rFonts w:ascii="Times New Roman" w:hAnsi="Times New Roman"/>
        </w:rPr>
        <w:t>round, one at a time</w:t>
      </w:r>
      <w:r w:rsidRPr="002208A3">
        <w:rPr>
          <w:rFonts w:ascii="Times New Roman" w:hAnsi="Times New Roman"/>
        </w:rPr>
        <w:t xml:space="preserve">, and then the summary of all 20 rounds. </w:t>
      </w:r>
      <w:r w:rsidR="00BB5794">
        <w:rPr>
          <w:rFonts w:ascii="Times New Roman" w:hAnsi="Times New Roman"/>
        </w:rPr>
        <w:t xml:space="preserve">Thus, the feedback seen in the precommitment condition and </w:t>
      </w:r>
      <w:r w:rsidR="00BB5794">
        <w:rPr>
          <w:rFonts w:ascii="Times New Roman" w:hAnsi="Times New Roman"/>
        </w:rPr>
        <w:lastRenderedPageBreak/>
        <w:t>the repeated control condition were the same</w:t>
      </w:r>
      <w:r w:rsidR="001872E4">
        <w:rPr>
          <w:rFonts w:ascii="Times New Roman" w:hAnsi="Times New Roman"/>
        </w:rPr>
        <w:t>; only the timing was different</w:t>
      </w:r>
      <w:r w:rsidR="00ED4844">
        <w:rPr>
          <w:rFonts w:ascii="Times New Roman" w:hAnsi="Times New Roman"/>
        </w:rPr>
        <w:t xml:space="preserve">, and by </w:t>
      </w:r>
      <w:r w:rsidR="001872E4">
        <w:rPr>
          <w:rFonts w:ascii="Times New Roman" w:hAnsi="Times New Roman"/>
        </w:rPr>
        <w:t xml:space="preserve">the beginning of block 2, both the repeated and precommitted conditions had seen </w:t>
      </w:r>
      <w:r w:rsidR="00ED4844">
        <w:rPr>
          <w:rFonts w:ascii="Times New Roman" w:hAnsi="Times New Roman"/>
        </w:rPr>
        <w:t xml:space="preserve">all </w:t>
      </w:r>
      <w:r w:rsidR="001872E4">
        <w:rPr>
          <w:rFonts w:ascii="Times New Roman" w:hAnsi="Times New Roman"/>
        </w:rPr>
        <w:t>the same feedback</w:t>
      </w:r>
      <w:r w:rsidR="00ED4844">
        <w:rPr>
          <w:rFonts w:ascii="Times New Roman" w:hAnsi="Times New Roman"/>
        </w:rPr>
        <w:t xml:space="preserve"> (with variations only as a function of their choices and the random outcomes)</w:t>
      </w:r>
      <w:r w:rsidR="001872E4">
        <w:rPr>
          <w:rFonts w:ascii="Times New Roman" w:hAnsi="Times New Roman"/>
        </w:rPr>
        <w:t>.</w:t>
      </w:r>
      <w:r w:rsidR="00BB5794">
        <w:rPr>
          <w:rFonts w:ascii="Times New Roman" w:hAnsi="Times New Roman"/>
        </w:rPr>
        <w:t xml:space="preserve"> </w:t>
      </w:r>
      <w:r w:rsidRPr="002208A3">
        <w:rPr>
          <w:rFonts w:ascii="Times New Roman" w:hAnsi="Times New Roman"/>
        </w:rPr>
        <w:t xml:space="preserve">Note that when participants made their choices, they could make a different choice for each round if they desired. For example, a participant could precommit to </w:t>
      </w:r>
      <w:r w:rsidR="00BB5794">
        <w:rPr>
          <w:rFonts w:ascii="Times New Roman" w:hAnsi="Times New Roman"/>
        </w:rPr>
        <w:t>choosing</w:t>
      </w:r>
      <w:r w:rsidRPr="002208A3">
        <w:rPr>
          <w:rFonts w:ascii="Times New Roman" w:hAnsi="Times New Roman"/>
        </w:rPr>
        <w:t xml:space="preserve"> the</w:t>
      </w:r>
      <w:r>
        <w:rPr>
          <w:rFonts w:ascii="Times New Roman" w:hAnsi="Times New Roman"/>
        </w:rPr>
        <w:t xml:space="preserve"> </w:t>
      </w:r>
      <w:r w:rsidR="00BB5794">
        <w:rPr>
          <w:rFonts w:ascii="Times New Roman" w:hAnsi="Times New Roman"/>
        </w:rPr>
        <w:t>safe</w:t>
      </w:r>
      <w:r>
        <w:rPr>
          <w:rFonts w:ascii="Times New Roman" w:hAnsi="Times New Roman"/>
        </w:rPr>
        <w:t xml:space="preserve"> region for the</w:t>
      </w:r>
      <w:r w:rsidRPr="002208A3">
        <w:rPr>
          <w:rFonts w:ascii="Times New Roman" w:hAnsi="Times New Roman"/>
        </w:rPr>
        <w:t xml:space="preserve"> first 15 rounds and </w:t>
      </w:r>
      <w:r>
        <w:rPr>
          <w:rFonts w:ascii="Times New Roman" w:hAnsi="Times New Roman"/>
        </w:rPr>
        <w:t>unknown region</w:t>
      </w:r>
      <w:r w:rsidRPr="002208A3">
        <w:rPr>
          <w:rFonts w:ascii="Times New Roman" w:hAnsi="Times New Roman"/>
        </w:rPr>
        <w:t xml:space="preserve"> in the last 5</w:t>
      </w:r>
      <w:r>
        <w:rPr>
          <w:rFonts w:ascii="Times New Roman" w:hAnsi="Times New Roman"/>
        </w:rPr>
        <w:t>.</w:t>
      </w:r>
      <w:r w:rsidRPr="002208A3">
        <w:rPr>
          <w:rFonts w:ascii="Times New Roman" w:hAnsi="Times New Roman"/>
        </w:rPr>
        <w:t xml:space="preserve"> </w:t>
      </w:r>
    </w:p>
    <w:p w14:paraId="7977728E" w14:textId="6D77811B" w:rsidR="004532A8" w:rsidRPr="002208A3" w:rsidRDefault="004532A8" w:rsidP="004532A8">
      <w:pPr>
        <w:spacing w:line="480" w:lineRule="auto"/>
        <w:rPr>
          <w:rFonts w:ascii="Times New Roman" w:hAnsi="Times New Roman"/>
        </w:rPr>
      </w:pPr>
      <w:r w:rsidRPr="002208A3">
        <w:rPr>
          <w:rFonts w:ascii="Times New Roman" w:hAnsi="Times New Roman"/>
        </w:rPr>
        <w:tab/>
      </w:r>
      <w:r w:rsidR="005F3B56">
        <w:rPr>
          <w:rFonts w:ascii="Times New Roman" w:hAnsi="Times New Roman"/>
        </w:rPr>
        <w:t xml:space="preserve">At the beginning of each block, participants were reminded to continue thinking aloud, and were instructed to say the block number out loud (e.g., “starting block 1”), which aided in connecting the thoughts to individual parts of the study. </w:t>
      </w:r>
      <w:r w:rsidRPr="002208A3">
        <w:rPr>
          <w:rFonts w:ascii="Times New Roman" w:hAnsi="Times New Roman"/>
        </w:rPr>
        <w:t xml:space="preserve">After completing all 4 blocks, participants were asked a number of demographic questions. Finally, one block was randomly selected, and each participant was paid accordingly. </w:t>
      </w:r>
    </w:p>
    <w:p w14:paraId="26A30095" w14:textId="77777777" w:rsidR="004532A8" w:rsidRPr="002208A3" w:rsidRDefault="004532A8" w:rsidP="004532A8">
      <w:pPr>
        <w:spacing w:line="480" w:lineRule="auto"/>
        <w:rPr>
          <w:rFonts w:ascii="Times New Roman" w:hAnsi="Times New Roman"/>
          <w:i/>
        </w:rPr>
      </w:pPr>
      <w:r w:rsidRPr="002208A3">
        <w:rPr>
          <w:rFonts w:ascii="Times New Roman" w:hAnsi="Times New Roman"/>
          <w:i/>
        </w:rPr>
        <w:t>Study 1: Results</w:t>
      </w:r>
    </w:p>
    <w:p w14:paraId="565A2679" w14:textId="25DC63C0" w:rsidR="004532A8" w:rsidRPr="002208A3" w:rsidRDefault="004532A8" w:rsidP="00CA55A9">
      <w:pPr>
        <w:spacing w:line="480" w:lineRule="auto"/>
        <w:rPr>
          <w:rFonts w:ascii="Times New Roman" w:hAnsi="Times New Roman"/>
        </w:rPr>
      </w:pPr>
      <w:r w:rsidRPr="002208A3">
        <w:rPr>
          <w:rFonts w:ascii="Times New Roman" w:hAnsi="Times New Roman"/>
        </w:rPr>
        <w:tab/>
        <w:t xml:space="preserve"> Average investment rates were computed for each participant </w:t>
      </w:r>
      <w:r w:rsidR="00CA55A9">
        <w:rPr>
          <w:rFonts w:ascii="Times New Roman" w:hAnsi="Times New Roman"/>
        </w:rPr>
        <w:t>for</w:t>
      </w:r>
      <w:r w:rsidRPr="002208A3">
        <w:rPr>
          <w:rFonts w:ascii="Times New Roman" w:hAnsi="Times New Roman"/>
        </w:rPr>
        <w:t xml:space="preserve"> each block of 20 rounds</w:t>
      </w:r>
      <w:r w:rsidR="00CA55A9">
        <w:rPr>
          <w:rFonts w:ascii="Times New Roman" w:hAnsi="Times New Roman"/>
        </w:rPr>
        <w:t xml:space="preserve">. Overall, participants in the repeated control condition chose the safe option 25% of the time, while participants in the precommitment condition chose the safe option </w:t>
      </w:r>
      <w:r w:rsidR="00C40E99">
        <w:rPr>
          <w:rFonts w:ascii="Times New Roman" w:hAnsi="Times New Roman"/>
        </w:rPr>
        <w:t>49</w:t>
      </w:r>
      <w:r w:rsidR="00CA55A9">
        <w:rPr>
          <w:rFonts w:ascii="Times New Roman" w:hAnsi="Times New Roman"/>
        </w:rPr>
        <w:t xml:space="preserve">% of the time. These means were compared with </w:t>
      </w:r>
      <w:r w:rsidRPr="002208A3">
        <w:rPr>
          <w:rFonts w:ascii="Times New Roman" w:hAnsi="Times New Roman"/>
        </w:rPr>
        <w:t>a repeated-measures ANOVA</w:t>
      </w:r>
      <w:r w:rsidR="00CA55A9">
        <w:rPr>
          <w:rFonts w:ascii="Times New Roman" w:hAnsi="Times New Roman"/>
        </w:rPr>
        <w:t>, confirming</w:t>
      </w:r>
      <w:r w:rsidRPr="002208A3">
        <w:rPr>
          <w:rFonts w:ascii="Times New Roman" w:hAnsi="Times New Roman"/>
        </w:rPr>
        <w:t xml:space="preserve"> a main effect of condition, </w:t>
      </w:r>
      <w:proofErr w:type="gramStart"/>
      <w:r w:rsidRPr="002208A3">
        <w:rPr>
          <w:rFonts w:ascii="Times New Roman" w:hAnsi="Times New Roman"/>
          <w:i/>
        </w:rPr>
        <w:t>F</w:t>
      </w:r>
      <w:r w:rsidRPr="002208A3">
        <w:rPr>
          <w:rFonts w:ascii="Times New Roman" w:hAnsi="Times New Roman"/>
        </w:rPr>
        <w:t>(</w:t>
      </w:r>
      <w:proofErr w:type="gramEnd"/>
      <w:r>
        <w:rPr>
          <w:rFonts w:ascii="Times New Roman" w:hAnsi="Times New Roman"/>
        </w:rPr>
        <w:t>1</w:t>
      </w:r>
      <w:r w:rsidRPr="002208A3">
        <w:rPr>
          <w:rFonts w:ascii="Times New Roman" w:hAnsi="Times New Roman"/>
        </w:rPr>
        <w:t>,</w:t>
      </w:r>
      <w:r>
        <w:rPr>
          <w:rFonts w:ascii="Times New Roman" w:hAnsi="Times New Roman"/>
        </w:rPr>
        <w:t>102</w:t>
      </w:r>
      <w:r w:rsidRPr="002208A3">
        <w:rPr>
          <w:rFonts w:ascii="Times New Roman" w:hAnsi="Times New Roman"/>
        </w:rPr>
        <w:t>)=</w:t>
      </w:r>
      <w:r>
        <w:rPr>
          <w:rFonts w:ascii="Times New Roman" w:hAnsi="Times New Roman"/>
        </w:rPr>
        <w:t>17.08</w:t>
      </w:r>
      <w:r w:rsidRPr="002208A3">
        <w:rPr>
          <w:rFonts w:ascii="Times New Roman" w:hAnsi="Times New Roman"/>
        </w:rPr>
        <w:t xml:space="preserve">, </w:t>
      </w:r>
      <w:r w:rsidRPr="002208A3">
        <w:rPr>
          <w:rFonts w:ascii="Times New Roman" w:hAnsi="Times New Roman"/>
          <w:i/>
        </w:rPr>
        <w:t>p</w:t>
      </w:r>
      <w:r w:rsidRPr="002208A3">
        <w:rPr>
          <w:rFonts w:ascii="Times New Roman" w:hAnsi="Times New Roman"/>
        </w:rPr>
        <w:t>&lt;.001</w:t>
      </w:r>
      <w:r w:rsidR="00CA55A9">
        <w:rPr>
          <w:rFonts w:ascii="Times New Roman" w:hAnsi="Times New Roman"/>
        </w:rPr>
        <w:t xml:space="preserve">. </w:t>
      </w:r>
      <w:r w:rsidR="00CC71E4">
        <w:rPr>
          <w:rFonts w:ascii="Times New Roman" w:hAnsi="Times New Roman"/>
        </w:rPr>
        <w:t xml:space="preserve">In this study, there were no significant differences from block to block, nor any interaction between block and precommitment condition. We report the </w:t>
      </w:r>
      <w:r w:rsidR="00B40C11">
        <w:rPr>
          <w:rFonts w:ascii="Times New Roman" w:hAnsi="Times New Roman"/>
        </w:rPr>
        <w:t xml:space="preserve">statistics for the </w:t>
      </w:r>
      <w:r w:rsidR="00CC71E4">
        <w:rPr>
          <w:rFonts w:ascii="Times New Roman" w:hAnsi="Times New Roman"/>
        </w:rPr>
        <w:t>block effects (</w:t>
      </w:r>
      <w:r w:rsidR="00B40C11">
        <w:rPr>
          <w:rFonts w:ascii="Times New Roman" w:hAnsi="Times New Roman"/>
        </w:rPr>
        <w:t xml:space="preserve">i.e., </w:t>
      </w:r>
      <w:r w:rsidR="00CC71E4">
        <w:rPr>
          <w:rFonts w:ascii="Times New Roman" w:hAnsi="Times New Roman"/>
        </w:rPr>
        <w:t>early blocks versus later blocks; as well as interactions</w:t>
      </w:r>
      <w:r w:rsidR="00B40C11">
        <w:rPr>
          <w:rFonts w:ascii="Times New Roman" w:hAnsi="Times New Roman"/>
        </w:rPr>
        <w:t xml:space="preserve"> with experimental condition</w:t>
      </w:r>
      <w:r w:rsidR="00CC71E4">
        <w:rPr>
          <w:rFonts w:ascii="Times New Roman" w:hAnsi="Times New Roman"/>
        </w:rPr>
        <w:t xml:space="preserve">) for all studies in </w:t>
      </w:r>
      <w:r w:rsidR="00ED4844">
        <w:rPr>
          <w:rFonts w:ascii="Times New Roman" w:hAnsi="Times New Roman"/>
        </w:rPr>
        <w:t>the “Additional Analyses” section below</w:t>
      </w:r>
      <w:r w:rsidR="00CC71E4">
        <w:rPr>
          <w:rFonts w:ascii="Times New Roman" w:hAnsi="Times New Roman"/>
        </w:rPr>
        <w:t xml:space="preserve">, as the </w:t>
      </w:r>
      <w:r w:rsidR="00C12C32">
        <w:rPr>
          <w:rFonts w:ascii="Times New Roman" w:hAnsi="Times New Roman"/>
        </w:rPr>
        <w:t>order effects are unreliable</w:t>
      </w:r>
      <w:r w:rsidR="00CC71E4">
        <w:rPr>
          <w:rFonts w:ascii="Times New Roman" w:hAnsi="Times New Roman"/>
        </w:rPr>
        <w:t xml:space="preserve"> </w:t>
      </w:r>
      <w:r w:rsidR="001F1F35">
        <w:rPr>
          <w:rFonts w:ascii="Times New Roman" w:hAnsi="Times New Roman"/>
        </w:rPr>
        <w:t xml:space="preserve">across studies </w:t>
      </w:r>
      <w:r w:rsidR="00CC71E4">
        <w:rPr>
          <w:rFonts w:ascii="Times New Roman" w:hAnsi="Times New Roman"/>
        </w:rPr>
        <w:t xml:space="preserve">and do not bear on our key hypotheses.  </w:t>
      </w:r>
    </w:p>
    <w:p w14:paraId="40E97C70" w14:textId="1EE934EE" w:rsidR="00230866" w:rsidRPr="00C94786" w:rsidRDefault="004532A8" w:rsidP="00230866">
      <w:pPr>
        <w:spacing w:line="480" w:lineRule="auto"/>
        <w:ind w:firstLine="720"/>
        <w:rPr>
          <w:rFonts w:ascii="Times New Roman" w:hAnsi="Times New Roman"/>
        </w:rPr>
      </w:pPr>
      <w:r>
        <w:rPr>
          <w:rFonts w:ascii="Times New Roman" w:hAnsi="Times New Roman"/>
          <w:i/>
        </w:rPr>
        <w:lastRenderedPageBreak/>
        <w:t>Thought-coding:</w:t>
      </w:r>
      <w:r>
        <w:rPr>
          <w:rFonts w:ascii="Times New Roman" w:hAnsi="Times New Roman"/>
          <w:iCs/>
        </w:rPr>
        <w:t xml:space="preserve"> </w:t>
      </w:r>
      <w:r w:rsidR="00230866">
        <w:rPr>
          <w:rFonts w:ascii="Times New Roman" w:hAnsi="Times New Roman"/>
        </w:rPr>
        <w:t xml:space="preserve">All of the recorded thoughts that participants spoke out loud while they were going through the experiment (e.g., reading instructions, making decisions, etc.) were transcribed by a professional transcription software, and manually checked and corrected by a research assistant. </w:t>
      </w:r>
      <w:r w:rsidR="00230866" w:rsidRPr="00C94786">
        <w:rPr>
          <w:rFonts w:ascii="Times New Roman" w:hAnsi="Times New Roman"/>
        </w:rPr>
        <w:t xml:space="preserve">Two trained coders were provided a spreadsheet with all </w:t>
      </w:r>
      <w:r w:rsidR="00230866">
        <w:rPr>
          <w:rFonts w:ascii="Times New Roman" w:hAnsi="Times New Roman"/>
        </w:rPr>
        <w:t xml:space="preserve">transcribed thoughts. </w:t>
      </w:r>
      <w:r w:rsidR="00230866" w:rsidRPr="00C94786">
        <w:rPr>
          <w:rFonts w:ascii="Times New Roman" w:hAnsi="Times New Roman"/>
        </w:rPr>
        <w:t xml:space="preserve">The coders were </w:t>
      </w:r>
      <w:r w:rsidR="00230866">
        <w:rPr>
          <w:rFonts w:ascii="Times New Roman" w:hAnsi="Times New Roman"/>
        </w:rPr>
        <w:t>blind to our</w:t>
      </w:r>
      <w:r w:rsidR="00230866" w:rsidRPr="00C94786">
        <w:rPr>
          <w:rFonts w:ascii="Times New Roman" w:hAnsi="Times New Roman"/>
        </w:rPr>
        <w:t xml:space="preserve"> research hypotheses</w:t>
      </w:r>
      <w:r w:rsidR="00230866">
        <w:rPr>
          <w:rFonts w:ascii="Times New Roman" w:hAnsi="Times New Roman"/>
        </w:rPr>
        <w:t>, and blind to the condition and response data for each participant</w:t>
      </w:r>
      <w:r w:rsidR="00230866" w:rsidRPr="00C94786">
        <w:rPr>
          <w:rFonts w:ascii="Times New Roman" w:hAnsi="Times New Roman"/>
        </w:rPr>
        <w:t>. We first instructed the coders to list all recurring</w:t>
      </w:r>
      <w:r w:rsidR="00230866">
        <w:rPr>
          <w:rFonts w:ascii="Times New Roman" w:hAnsi="Times New Roman"/>
        </w:rPr>
        <w:t xml:space="preserve"> </w:t>
      </w:r>
      <w:r w:rsidR="00230866" w:rsidRPr="00C94786">
        <w:rPr>
          <w:rFonts w:ascii="Times New Roman" w:hAnsi="Times New Roman"/>
        </w:rPr>
        <w:t>themes in the responses. The two coders generated their themes list</w:t>
      </w:r>
      <w:r w:rsidR="00230866">
        <w:rPr>
          <w:rFonts w:ascii="Times New Roman" w:hAnsi="Times New Roman"/>
        </w:rPr>
        <w:t xml:space="preserve"> </w:t>
      </w:r>
      <w:r w:rsidR="00230866" w:rsidRPr="00C94786">
        <w:rPr>
          <w:rFonts w:ascii="Times New Roman" w:hAnsi="Times New Roman"/>
        </w:rPr>
        <w:t xml:space="preserve">independently. Then, </w:t>
      </w:r>
      <w:r w:rsidR="00230866">
        <w:rPr>
          <w:rFonts w:ascii="Times New Roman" w:hAnsi="Times New Roman"/>
        </w:rPr>
        <w:t>two</w:t>
      </w:r>
      <w:r w:rsidR="00230866" w:rsidRPr="00C94786">
        <w:rPr>
          <w:rFonts w:ascii="Times New Roman" w:hAnsi="Times New Roman"/>
        </w:rPr>
        <w:t xml:space="preserve"> author</w:t>
      </w:r>
      <w:r w:rsidR="00230866">
        <w:rPr>
          <w:rFonts w:ascii="Times New Roman" w:hAnsi="Times New Roman"/>
        </w:rPr>
        <w:t>s</w:t>
      </w:r>
      <w:r w:rsidR="00230866" w:rsidRPr="00C94786">
        <w:rPr>
          <w:rFonts w:ascii="Times New Roman" w:hAnsi="Times New Roman"/>
        </w:rPr>
        <w:t xml:space="preserve"> met with the two</w:t>
      </w:r>
      <w:r w:rsidR="00230866">
        <w:rPr>
          <w:rFonts w:ascii="Times New Roman" w:hAnsi="Times New Roman"/>
        </w:rPr>
        <w:t xml:space="preserve"> </w:t>
      </w:r>
      <w:r w:rsidR="00230866" w:rsidRPr="00C94786">
        <w:rPr>
          <w:rFonts w:ascii="Times New Roman" w:hAnsi="Times New Roman"/>
        </w:rPr>
        <w:t>coders, and together they constructed a unique list of recurring themes</w:t>
      </w:r>
      <w:r w:rsidR="00230866">
        <w:rPr>
          <w:rFonts w:ascii="Times New Roman" w:hAnsi="Times New Roman"/>
        </w:rPr>
        <w:t xml:space="preserve"> </w:t>
      </w:r>
      <w:r w:rsidR="00230866" w:rsidRPr="00C94786">
        <w:rPr>
          <w:rFonts w:ascii="Times New Roman" w:hAnsi="Times New Roman"/>
        </w:rPr>
        <w:t>and established a code book</w:t>
      </w:r>
      <w:r w:rsidR="00230866">
        <w:rPr>
          <w:rFonts w:ascii="Times New Roman" w:hAnsi="Times New Roman"/>
        </w:rPr>
        <w:t xml:space="preserve"> (provided in the online appendix)</w:t>
      </w:r>
      <w:r w:rsidR="00230866" w:rsidRPr="00C94786">
        <w:rPr>
          <w:rFonts w:ascii="Times New Roman" w:hAnsi="Times New Roman"/>
        </w:rPr>
        <w:t xml:space="preserve">. </w:t>
      </w:r>
      <w:r w:rsidR="00230866">
        <w:rPr>
          <w:rFonts w:ascii="Times New Roman" w:hAnsi="Times New Roman"/>
        </w:rPr>
        <w:t>We broke down the transcripts into five different sections: General, block 1, block 2, block 3, and block 4. Both</w:t>
      </w:r>
      <w:r w:rsidR="00230866" w:rsidRPr="00C94786">
        <w:rPr>
          <w:rFonts w:ascii="Times New Roman" w:hAnsi="Times New Roman"/>
        </w:rPr>
        <w:t xml:space="preserve"> coders w</w:t>
      </w:r>
      <w:r w:rsidR="00230866">
        <w:rPr>
          <w:rFonts w:ascii="Times New Roman" w:hAnsi="Times New Roman"/>
        </w:rPr>
        <w:t>ere</w:t>
      </w:r>
      <w:r w:rsidR="00230866" w:rsidRPr="00C94786">
        <w:rPr>
          <w:rFonts w:ascii="Times New Roman" w:hAnsi="Times New Roman"/>
        </w:rPr>
        <w:t xml:space="preserve"> instructed</w:t>
      </w:r>
      <w:r w:rsidR="00230866">
        <w:rPr>
          <w:rFonts w:ascii="Times New Roman" w:hAnsi="Times New Roman"/>
        </w:rPr>
        <w:t xml:space="preserve"> </w:t>
      </w:r>
      <w:r w:rsidR="00230866" w:rsidRPr="00C94786">
        <w:rPr>
          <w:rFonts w:ascii="Times New Roman" w:hAnsi="Times New Roman"/>
        </w:rPr>
        <w:t xml:space="preserve">to code each </w:t>
      </w:r>
      <w:r w:rsidR="00230866">
        <w:rPr>
          <w:rFonts w:ascii="Times New Roman" w:hAnsi="Times New Roman"/>
        </w:rPr>
        <w:t xml:space="preserve">text cell according to the code book. After an initial training set of 10 participants, the reliabilities were assessed, and the code book was revised to improve reliability. The final inter-rater reliabilities and correlations for each coded item are reported in the online supplement. </w:t>
      </w:r>
      <w:r w:rsidR="00230866">
        <w:rPr>
          <w:rFonts w:ascii="Times New Roman" w:hAnsi="Times New Roman"/>
          <w:iCs/>
        </w:rPr>
        <w:t xml:space="preserve">We rejected any coding category with reliability below .70. For the remaining coding categories, </w:t>
      </w:r>
      <w:r w:rsidR="00230866">
        <w:rPr>
          <w:rFonts w:ascii="Times New Roman" w:hAnsi="Times New Roman"/>
        </w:rPr>
        <w:t xml:space="preserve">in case of disagreement, continuous variables were averaged between the two coders, and categorical variables were resolved by discussion between the two coders. </w:t>
      </w:r>
    </w:p>
    <w:p w14:paraId="31F35020" w14:textId="2330AA77" w:rsidR="0081067C" w:rsidRDefault="004532A8" w:rsidP="007D545D">
      <w:pPr>
        <w:spacing w:line="480" w:lineRule="auto"/>
        <w:ind w:firstLine="720"/>
        <w:rPr>
          <w:rFonts w:ascii="Times New Roman" w:hAnsi="Times New Roman"/>
          <w:iCs/>
        </w:rPr>
      </w:pPr>
      <w:r>
        <w:rPr>
          <w:rFonts w:ascii="Times New Roman" w:hAnsi="Times New Roman"/>
          <w:iCs/>
        </w:rPr>
        <w:t xml:space="preserve">Taking an exploratory approach, we </w:t>
      </w:r>
      <w:r w:rsidR="007D545D">
        <w:rPr>
          <w:rFonts w:ascii="Times New Roman" w:hAnsi="Times New Roman"/>
          <w:iCs/>
        </w:rPr>
        <w:t>examined every coding category</w:t>
      </w:r>
      <w:r>
        <w:rPr>
          <w:rFonts w:ascii="Times New Roman" w:hAnsi="Times New Roman"/>
          <w:iCs/>
        </w:rPr>
        <w:t xml:space="preserve"> </w:t>
      </w:r>
      <w:r w:rsidR="007E5ED4">
        <w:rPr>
          <w:rFonts w:ascii="Times New Roman" w:hAnsi="Times New Roman"/>
          <w:iCs/>
        </w:rPr>
        <w:t xml:space="preserve">with sufficient reliability </w:t>
      </w:r>
      <w:r>
        <w:rPr>
          <w:rFonts w:ascii="Times New Roman" w:hAnsi="Times New Roman"/>
          <w:iCs/>
        </w:rPr>
        <w:t xml:space="preserve">as </w:t>
      </w:r>
      <w:r w:rsidR="007D545D">
        <w:rPr>
          <w:rFonts w:ascii="Times New Roman" w:hAnsi="Times New Roman"/>
          <w:iCs/>
        </w:rPr>
        <w:t xml:space="preserve">a </w:t>
      </w:r>
      <w:r>
        <w:rPr>
          <w:rFonts w:ascii="Times New Roman" w:hAnsi="Times New Roman"/>
          <w:iCs/>
        </w:rPr>
        <w:t xml:space="preserve">candidate </w:t>
      </w:r>
      <w:r w:rsidR="007D545D">
        <w:rPr>
          <w:rFonts w:ascii="Times New Roman" w:hAnsi="Times New Roman"/>
          <w:iCs/>
        </w:rPr>
        <w:t xml:space="preserve">for </w:t>
      </w:r>
      <w:r>
        <w:rPr>
          <w:rFonts w:ascii="Times New Roman" w:hAnsi="Times New Roman"/>
          <w:iCs/>
        </w:rPr>
        <w:t>explaining the precommitment effect</w:t>
      </w:r>
      <w:r w:rsidR="007E5ED4">
        <w:rPr>
          <w:rFonts w:ascii="Times New Roman" w:hAnsi="Times New Roman"/>
          <w:iCs/>
        </w:rPr>
        <w:t xml:space="preserve">, using mediation analysis. Almost all of the results were non-significant, as reported in the Online Supplement. </w:t>
      </w:r>
      <w:r w:rsidR="007D545D">
        <w:rPr>
          <w:rFonts w:ascii="Times New Roman" w:hAnsi="Times New Roman"/>
          <w:iCs/>
        </w:rPr>
        <w:t xml:space="preserve"> </w:t>
      </w:r>
      <w:r>
        <w:rPr>
          <w:rFonts w:ascii="Times New Roman" w:hAnsi="Times New Roman"/>
          <w:iCs/>
        </w:rPr>
        <w:t xml:space="preserve">The </w:t>
      </w:r>
      <w:r w:rsidR="007E5ED4">
        <w:rPr>
          <w:rFonts w:ascii="Times New Roman" w:hAnsi="Times New Roman"/>
          <w:iCs/>
        </w:rPr>
        <w:t xml:space="preserve">significant results, as well as other results that bear on our hypotheses (H2 and H3) </w:t>
      </w:r>
      <w:r>
        <w:rPr>
          <w:rFonts w:ascii="Times New Roman" w:hAnsi="Times New Roman"/>
          <w:iCs/>
        </w:rPr>
        <w:t xml:space="preserve">are </w:t>
      </w:r>
      <w:r w:rsidR="007E5ED4">
        <w:rPr>
          <w:rFonts w:ascii="Times New Roman" w:hAnsi="Times New Roman"/>
          <w:iCs/>
        </w:rPr>
        <w:t>presented in T</w:t>
      </w:r>
      <w:r>
        <w:rPr>
          <w:rFonts w:ascii="Times New Roman" w:hAnsi="Times New Roman"/>
          <w:iCs/>
        </w:rPr>
        <w:t xml:space="preserve">able </w:t>
      </w:r>
      <w:r w:rsidR="00A505D4">
        <w:rPr>
          <w:rFonts w:ascii="Times New Roman" w:hAnsi="Times New Roman"/>
          <w:iCs/>
        </w:rPr>
        <w:t>2</w:t>
      </w:r>
      <w:r>
        <w:rPr>
          <w:rFonts w:ascii="Times New Roman" w:hAnsi="Times New Roman"/>
          <w:iCs/>
        </w:rPr>
        <w:t>.</w:t>
      </w:r>
      <w:r w:rsidR="009B7B5D">
        <w:rPr>
          <w:rFonts w:ascii="Times New Roman" w:hAnsi="Times New Roman"/>
          <w:iCs/>
        </w:rPr>
        <w:t xml:space="preserve"> </w:t>
      </w:r>
      <w:r w:rsidR="0081067C">
        <w:rPr>
          <w:rFonts w:ascii="Times New Roman" w:hAnsi="Times New Roman"/>
          <w:iCs/>
        </w:rPr>
        <w:t xml:space="preserve">As seen in the table, participants who </w:t>
      </w:r>
      <w:r w:rsidR="0081067C">
        <w:rPr>
          <w:rFonts w:ascii="Times New Roman" w:hAnsi="Times New Roman"/>
          <w:iCs/>
        </w:rPr>
        <w:lastRenderedPageBreak/>
        <w:t xml:space="preserve">precommitted their choices were more likely to make a </w:t>
      </w:r>
      <w:r w:rsidR="00655769">
        <w:rPr>
          <w:rFonts w:ascii="Times New Roman" w:hAnsi="Times New Roman"/>
          <w:iCs/>
        </w:rPr>
        <w:t xml:space="preserve">safe or mixed </w:t>
      </w:r>
      <w:r w:rsidR="0081067C">
        <w:rPr>
          <w:rFonts w:ascii="Times New Roman" w:hAnsi="Times New Roman"/>
          <w:iCs/>
        </w:rPr>
        <w:t xml:space="preserve">plan at the beginning, and more likely to mention (individual and/or cumulative) outcomes while they were planning. In turn, the </w:t>
      </w:r>
      <w:r w:rsidR="00655769">
        <w:rPr>
          <w:rFonts w:ascii="Times New Roman" w:hAnsi="Times New Roman"/>
          <w:iCs/>
        </w:rPr>
        <w:t xml:space="preserve">safer </w:t>
      </w:r>
      <w:r w:rsidR="0081067C">
        <w:rPr>
          <w:rFonts w:ascii="Times New Roman" w:hAnsi="Times New Roman"/>
          <w:iCs/>
        </w:rPr>
        <w:t xml:space="preserve">planning and outcome focus predicted safer choices, and mediated the effect of precommitment on choice (supporting H2). Meanwhile, thoughts related to probability, chance, or luck did not vary between conditions, nor did they predict choices. These results </w:t>
      </w:r>
      <w:r w:rsidR="00F52B67">
        <w:rPr>
          <w:rFonts w:ascii="Times New Roman" w:hAnsi="Times New Roman"/>
          <w:iCs/>
        </w:rPr>
        <w:t>are consistent with</w:t>
      </w:r>
      <w:r w:rsidR="0081067C">
        <w:rPr>
          <w:rFonts w:ascii="Times New Roman" w:hAnsi="Times New Roman"/>
          <w:iCs/>
        </w:rPr>
        <w:t xml:space="preserve"> H3, but are not conclusive, due to the overall large number of non-significant thought </w:t>
      </w:r>
      <w:r w:rsidR="008D7D83">
        <w:rPr>
          <w:rFonts w:ascii="Times New Roman" w:hAnsi="Times New Roman"/>
          <w:iCs/>
        </w:rPr>
        <w:t>coding</w:t>
      </w:r>
      <w:r w:rsidR="0081067C">
        <w:rPr>
          <w:rFonts w:ascii="Times New Roman" w:hAnsi="Times New Roman"/>
          <w:iCs/>
        </w:rPr>
        <w:t xml:space="preserve"> results. </w:t>
      </w:r>
    </w:p>
    <w:p w14:paraId="6847E88B" w14:textId="3012E8E5" w:rsidR="00FD125C" w:rsidRDefault="009B7B5D" w:rsidP="00A505D4">
      <w:pPr>
        <w:spacing w:line="480" w:lineRule="auto"/>
        <w:ind w:firstLine="720"/>
        <w:rPr>
          <w:rFonts w:ascii="Times New Roman" w:hAnsi="Times New Roman"/>
          <w:iCs/>
        </w:rPr>
      </w:pPr>
      <w:r>
        <w:rPr>
          <w:rFonts w:ascii="Times New Roman" w:hAnsi="Times New Roman"/>
          <w:iCs/>
        </w:rPr>
        <w:t xml:space="preserve">Furthermore, each participants’ </w:t>
      </w:r>
      <w:r w:rsidR="0081067C">
        <w:rPr>
          <w:rFonts w:ascii="Times New Roman" w:hAnsi="Times New Roman"/>
          <w:iCs/>
        </w:rPr>
        <w:t xml:space="preserve">thoughts </w:t>
      </w:r>
      <w:r>
        <w:rPr>
          <w:rFonts w:ascii="Times New Roman" w:hAnsi="Times New Roman"/>
          <w:iCs/>
        </w:rPr>
        <w:t xml:space="preserve">were coded automatically by </w:t>
      </w:r>
      <w:r w:rsidR="00480F2D">
        <w:rPr>
          <w:rFonts w:ascii="Times New Roman" w:hAnsi="Times New Roman"/>
          <w:iCs/>
        </w:rPr>
        <w:t xml:space="preserve">the </w:t>
      </w:r>
      <w:r w:rsidR="00480F2D" w:rsidRPr="00480F2D">
        <w:rPr>
          <w:rFonts w:ascii="Times New Roman" w:hAnsi="Times New Roman"/>
          <w:iCs/>
        </w:rPr>
        <w:t>Linguistic Inquiry and Word</w:t>
      </w:r>
      <w:r w:rsidR="00480F2D">
        <w:rPr>
          <w:rFonts w:ascii="Times New Roman" w:hAnsi="Times New Roman"/>
          <w:iCs/>
        </w:rPr>
        <w:t xml:space="preserve"> </w:t>
      </w:r>
      <w:r w:rsidR="00480F2D" w:rsidRPr="00480F2D">
        <w:rPr>
          <w:rFonts w:ascii="Times New Roman" w:hAnsi="Times New Roman"/>
          <w:iCs/>
        </w:rPr>
        <w:t>Count (LIWC)</w:t>
      </w:r>
      <w:r w:rsidR="00480F2D">
        <w:rPr>
          <w:rFonts w:ascii="Times New Roman" w:hAnsi="Times New Roman"/>
          <w:iCs/>
        </w:rPr>
        <w:t xml:space="preserve"> program</w:t>
      </w:r>
      <w:r w:rsidR="00A505D4">
        <w:rPr>
          <w:rFonts w:ascii="Times New Roman" w:hAnsi="Times New Roman"/>
          <w:iCs/>
        </w:rPr>
        <w:t xml:space="preserve"> </w:t>
      </w:r>
      <w:r w:rsidR="00A505D4">
        <w:rPr>
          <w:rFonts w:ascii="Times New Roman" w:hAnsi="Times New Roman"/>
          <w:iCs/>
        </w:rPr>
        <w:fldChar w:fldCharType="begin"/>
      </w:r>
      <w:r w:rsidR="00A505D4">
        <w:rPr>
          <w:rFonts w:ascii="Times New Roman" w:hAnsi="Times New Roman"/>
          <w:iCs/>
        </w:rPr>
        <w:instrText xml:space="preserve"> ADDIN EN.CITE &lt;EndNote&gt;&lt;Cite&gt;&lt;Author&gt;Pennebaker&lt;/Author&gt;&lt;Year&gt;2015&lt;/Year&gt;&lt;IDText&gt;The development and psychometric properties of LIWC2015&lt;/IDText&gt;&lt;DisplayText&gt;(Pennebaker, Boyd, Jordan, &amp;amp; Blackburn, 2015)&lt;/DisplayText&gt;&lt;record&gt;&lt;titles&gt;&lt;title&gt;The development and psychometric properties of LIWC2015&lt;/title&gt;&lt;/titles&gt;&lt;contributors&gt;&lt;authors&gt;&lt;author&gt;Pennebaker, James W&lt;/author&gt;&lt;author&gt;Boyd, Ryan L&lt;/author&gt;&lt;author&gt;Jordan, Kayla&lt;/author&gt;&lt;author&gt;Blackburn, Kate&lt;/author&gt;&lt;/authors&gt;&lt;/contributors&gt;&lt;added-date format="utc"&gt;1597539097&lt;/added-date&gt;&lt;ref-type name="Report"&gt;27&lt;/ref-type&gt;&lt;dates&gt;&lt;year&gt;2015&lt;/year&gt;&lt;/dates&gt;&lt;rec-number&gt;655&lt;/rec-number&gt;&lt;last-updated-date format="utc"&gt;1597539097&lt;/last-updated-date&gt;&lt;/record&gt;&lt;/Cite&gt;&lt;/EndNote&gt;</w:instrText>
      </w:r>
      <w:r w:rsidR="00A505D4">
        <w:rPr>
          <w:rFonts w:ascii="Times New Roman" w:hAnsi="Times New Roman"/>
          <w:iCs/>
        </w:rPr>
        <w:fldChar w:fldCharType="separate"/>
      </w:r>
      <w:r w:rsidR="00A505D4">
        <w:rPr>
          <w:rFonts w:ascii="Times New Roman" w:hAnsi="Times New Roman"/>
          <w:iCs/>
          <w:noProof/>
        </w:rPr>
        <w:t>(Pennebaker, Boyd, Jordan, &amp; Blackburn, 2015)</w:t>
      </w:r>
      <w:r w:rsidR="00A505D4">
        <w:rPr>
          <w:rFonts w:ascii="Times New Roman" w:hAnsi="Times New Roman"/>
          <w:iCs/>
        </w:rPr>
        <w:fldChar w:fldCharType="end"/>
      </w:r>
      <w:r w:rsidR="00480F2D">
        <w:rPr>
          <w:rFonts w:ascii="Times New Roman" w:hAnsi="Times New Roman"/>
          <w:iCs/>
        </w:rPr>
        <w:t xml:space="preserve">. </w:t>
      </w:r>
      <w:r w:rsidR="00842B63">
        <w:rPr>
          <w:rFonts w:ascii="Times New Roman" w:hAnsi="Times New Roman"/>
          <w:iCs/>
        </w:rPr>
        <w:t xml:space="preserve">LIWC uses dictionary-based text analysis to count words from text files and to provide percentage scores for several social (e.g., family, friends), psychological (e.g., positive emotions, sadness), or grammatical (e.g., question marks, exclamation marks) dimensions. LIWC’s coding results have been used and validated in several studies </w:t>
      </w:r>
      <w:r w:rsidR="00A505D4">
        <w:rPr>
          <w:rFonts w:ascii="Times New Roman" w:hAnsi="Times New Roman"/>
          <w:iCs/>
        </w:rPr>
        <w:fldChar w:fldCharType="begin"/>
      </w:r>
      <w:r w:rsidR="00A505D4">
        <w:rPr>
          <w:rFonts w:ascii="Times New Roman" w:hAnsi="Times New Roman"/>
          <w:iCs/>
        </w:rPr>
        <w:instrText xml:space="preserve"> ADDIN EN.CITE &lt;EndNote&gt;&lt;Cite&gt;&lt;Author&gt;Humphreys&lt;/Author&gt;&lt;Year&gt;2018&lt;/Year&gt;&lt;IDText&gt;Automated text analysis for consumer research&lt;/IDText&gt;&lt;Prefix&gt;for a review see &lt;/Prefix&gt;&lt;DisplayText&gt;(for a review see Humphreys &amp;amp; Wang, 2018)&lt;/DisplayText&gt;&lt;record&gt;&lt;isbn&gt;0093-5301&lt;/isbn&gt;&lt;titles&gt;&lt;title&gt;Automated text analysis for consumer research&lt;/title&gt;&lt;secondary-title&gt;Journal of Consumer Research&lt;/secondary-title&gt;&lt;/titles&gt;&lt;pages&gt;1274-1306&lt;/pages&gt;&lt;number&gt;6&lt;/number&gt;&lt;contributors&gt;&lt;authors&gt;&lt;author&gt;Humphreys, Ashlee&lt;/author&gt;&lt;author&gt;Wang, Rebecca Jen-Hui&lt;/author&gt;&lt;/authors&gt;&lt;/contributors&gt;&lt;added-date format="utc"&gt;1597539105&lt;/added-date&gt;&lt;ref-type name="Journal Article"&gt;17&lt;/ref-type&gt;&lt;dates&gt;&lt;year&gt;2018&lt;/year&gt;&lt;/dates&gt;&lt;rec-number&gt;656&lt;/rec-number&gt;&lt;last-updated-date format="utc"&gt;1597539105&lt;/last-updated-date&gt;&lt;volume&gt;44&lt;/volume&gt;&lt;/record&gt;&lt;/Cite&gt;&lt;/EndNote&gt;</w:instrText>
      </w:r>
      <w:r w:rsidR="00A505D4">
        <w:rPr>
          <w:rFonts w:ascii="Times New Roman" w:hAnsi="Times New Roman"/>
          <w:iCs/>
        </w:rPr>
        <w:fldChar w:fldCharType="separate"/>
      </w:r>
      <w:r w:rsidR="00A505D4">
        <w:rPr>
          <w:rFonts w:ascii="Times New Roman" w:hAnsi="Times New Roman"/>
          <w:iCs/>
          <w:noProof/>
        </w:rPr>
        <w:t>(for a review see Humphreys &amp; Wang, 2018)</w:t>
      </w:r>
      <w:r w:rsidR="00A505D4">
        <w:rPr>
          <w:rFonts w:ascii="Times New Roman" w:hAnsi="Times New Roman"/>
          <w:iCs/>
        </w:rPr>
        <w:fldChar w:fldCharType="end"/>
      </w:r>
      <w:r w:rsidR="00842B63">
        <w:rPr>
          <w:rFonts w:ascii="Times New Roman" w:hAnsi="Times New Roman"/>
          <w:iCs/>
        </w:rPr>
        <w:t xml:space="preserve">. </w:t>
      </w:r>
      <w:r w:rsidR="00B51EAB">
        <w:rPr>
          <w:rFonts w:ascii="Times New Roman" w:hAnsi="Times New Roman"/>
          <w:iCs/>
        </w:rPr>
        <w:t>The LIWC analysis revealed that participants in the precommitment condition were more likely to use insight words (</w:t>
      </w:r>
      <w:r w:rsidR="00B51EAB" w:rsidRPr="00B51EAB">
        <w:rPr>
          <w:rFonts w:ascii="Times New Roman" w:hAnsi="Times New Roman"/>
          <w:iCs/>
        </w:rPr>
        <w:t>e.g., think, know, consider</w:t>
      </w:r>
      <w:r w:rsidR="00B51EAB">
        <w:rPr>
          <w:rFonts w:ascii="Times New Roman" w:hAnsi="Times New Roman"/>
          <w:iCs/>
        </w:rPr>
        <w:t xml:space="preserve">) and that this use of insight words predicted safer choices, and mediated the effect of precommitment on choices. </w:t>
      </w:r>
    </w:p>
    <w:p w14:paraId="6C09905E" w14:textId="77777777" w:rsidR="00B51EAB" w:rsidRDefault="00B51EAB">
      <w:pPr>
        <w:rPr>
          <w:rFonts w:ascii="Times New Roman" w:hAnsi="Times New Roman"/>
          <w:i/>
        </w:rPr>
        <w:sectPr w:rsidR="00B51EAB" w:rsidSect="00B51EAB">
          <w:headerReference w:type="default" r:id="rId8"/>
          <w:pgSz w:w="12240" w:h="15840"/>
          <w:pgMar w:top="1440" w:right="1797" w:bottom="1440" w:left="1797" w:header="720" w:footer="720" w:gutter="0"/>
          <w:cols w:space="720"/>
          <w:docGrid w:linePitch="360"/>
        </w:sectPr>
      </w:pPr>
    </w:p>
    <w:p w14:paraId="1840730F" w14:textId="7C9A5E4C" w:rsidR="00FD125C" w:rsidRPr="00B51EAB" w:rsidRDefault="00FD125C" w:rsidP="00B51EAB">
      <w:pPr>
        <w:rPr>
          <w:rFonts w:ascii="Times New Roman" w:hAnsi="Times New Roman"/>
          <w:i/>
        </w:rPr>
      </w:pPr>
      <w:r w:rsidRPr="00FD125C">
        <w:rPr>
          <w:rFonts w:ascii="Times New Roman" w:hAnsi="Times New Roman"/>
          <w:i/>
        </w:rPr>
        <w:lastRenderedPageBreak/>
        <w:t xml:space="preserve">Table </w:t>
      </w:r>
      <w:r w:rsidR="00A505D4">
        <w:rPr>
          <w:rFonts w:ascii="Times New Roman" w:hAnsi="Times New Roman"/>
          <w:i/>
        </w:rPr>
        <w:t>2</w:t>
      </w:r>
      <w:r w:rsidRPr="00FD125C">
        <w:rPr>
          <w:rFonts w:ascii="Times New Roman" w:hAnsi="Times New Roman"/>
          <w:i/>
        </w:rPr>
        <w:t>.</w:t>
      </w:r>
      <w:r w:rsidR="002F43F8">
        <w:rPr>
          <w:rFonts w:ascii="Times New Roman" w:hAnsi="Times New Roman"/>
          <w:i/>
        </w:rPr>
        <w:t xml:space="preserve"> </w:t>
      </w:r>
      <w:r w:rsidR="002962C9">
        <w:rPr>
          <w:rFonts w:ascii="Times New Roman" w:hAnsi="Times New Roman"/>
          <w:i/>
        </w:rPr>
        <w:t>Exploratory t</w:t>
      </w:r>
      <w:r w:rsidR="002F43F8">
        <w:rPr>
          <w:rFonts w:ascii="Times New Roman" w:hAnsi="Times New Roman"/>
          <w:i/>
        </w:rPr>
        <w:t>hought-listing cod</w:t>
      </w:r>
      <w:r w:rsidR="002962C9">
        <w:rPr>
          <w:rFonts w:ascii="Times New Roman" w:hAnsi="Times New Roman"/>
          <w:i/>
        </w:rPr>
        <w:t>ing results</w:t>
      </w:r>
      <w:r w:rsidR="002F43F8">
        <w:rPr>
          <w:rFonts w:ascii="Times New Roman" w:hAnsi="Times New Roman"/>
          <w:i/>
        </w:rPr>
        <w:t xml:space="preserve"> in Study 1. </w:t>
      </w:r>
      <w:r w:rsidR="00652DF7">
        <w:rPr>
          <w:rFonts w:ascii="Times New Roman" w:hAnsi="Times New Roman"/>
          <w:i/>
        </w:rPr>
        <w:t xml:space="preserve">Variables </w:t>
      </w:r>
      <w:r w:rsidR="00D552AE">
        <w:rPr>
          <w:rFonts w:ascii="Times New Roman" w:hAnsi="Times New Roman"/>
          <w:i/>
        </w:rPr>
        <w:t xml:space="preserve">shown </w:t>
      </w:r>
      <w:r w:rsidR="00652DF7">
        <w:rPr>
          <w:rFonts w:ascii="Times New Roman" w:hAnsi="Times New Roman"/>
          <w:i/>
        </w:rPr>
        <w:t xml:space="preserve">are the cumulative total across </w:t>
      </w:r>
      <w:r w:rsidR="00E467E4">
        <w:rPr>
          <w:rFonts w:ascii="Times New Roman" w:hAnsi="Times New Roman"/>
          <w:i/>
        </w:rPr>
        <w:t xml:space="preserve">the study (combining all four blocks). </w:t>
      </w:r>
    </w:p>
    <w:tbl>
      <w:tblPr>
        <w:tblW w:w="5000" w:type="pct"/>
        <w:tblLayout w:type="fixed"/>
        <w:tblLook w:val="04A0" w:firstRow="1" w:lastRow="0" w:firstColumn="1" w:lastColumn="0" w:noHBand="0" w:noVBand="1"/>
      </w:tblPr>
      <w:tblGrid>
        <w:gridCol w:w="1529"/>
        <w:gridCol w:w="5402"/>
        <w:gridCol w:w="1262"/>
        <w:gridCol w:w="1711"/>
        <w:gridCol w:w="1288"/>
        <w:gridCol w:w="1768"/>
      </w:tblGrid>
      <w:tr w:rsidR="004532A8" w:rsidRPr="004E1328" w14:paraId="27C01925" w14:textId="77777777" w:rsidTr="00C85417">
        <w:trPr>
          <w:trHeight w:val="300"/>
        </w:trPr>
        <w:tc>
          <w:tcPr>
            <w:tcW w:w="590" w:type="pct"/>
            <w:tcBorders>
              <w:top w:val="nil"/>
              <w:left w:val="nil"/>
              <w:bottom w:val="single" w:sz="4" w:space="0" w:color="auto"/>
              <w:right w:val="nil"/>
            </w:tcBorders>
            <w:shd w:val="clear" w:color="auto" w:fill="auto"/>
            <w:noWrap/>
            <w:vAlign w:val="center"/>
            <w:hideMark/>
          </w:tcPr>
          <w:p w14:paraId="4C9E7D44"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Item code</w:t>
            </w:r>
          </w:p>
        </w:tc>
        <w:tc>
          <w:tcPr>
            <w:tcW w:w="2084" w:type="pct"/>
            <w:tcBorders>
              <w:top w:val="nil"/>
              <w:left w:val="nil"/>
              <w:bottom w:val="single" w:sz="4" w:space="0" w:color="auto"/>
              <w:right w:val="nil"/>
            </w:tcBorders>
            <w:shd w:val="clear" w:color="auto" w:fill="auto"/>
            <w:noWrap/>
            <w:vAlign w:val="center"/>
            <w:hideMark/>
          </w:tcPr>
          <w:p w14:paraId="773880F4"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Coding instruction from codebook</w:t>
            </w:r>
          </w:p>
        </w:tc>
        <w:tc>
          <w:tcPr>
            <w:tcW w:w="487" w:type="pct"/>
            <w:tcBorders>
              <w:top w:val="nil"/>
              <w:left w:val="nil"/>
              <w:bottom w:val="single" w:sz="4" w:space="0" w:color="auto"/>
              <w:right w:val="nil"/>
            </w:tcBorders>
            <w:shd w:val="clear" w:color="auto" w:fill="auto"/>
            <w:noWrap/>
            <w:vAlign w:val="center"/>
            <w:hideMark/>
          </w:tcPr>
          <w:p w14:paraId="4DB7F605"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Repeated</w:t>
            </w:r>
          </w:p>
        </w:tc>
        <w:tc>
          <w:tcPr>
            <w:tcW w:w="660" w:type="pct"/>
            <w:tcBorders>
              <w:top w:val="nil"/>
              <w:left w:val="nil"/>
              <w:bottom w:val="single" w:sz="4" w:space="0" w:color="auto"/>
              <w:right w:val="nil"/>
            </w:tcBorders>
            <w:shd w:val="clear" w:color="auto" w:fill="auto"/>
            <w:noWrap/>
            <w:vAlign w:val="center"/>
            <w:hideMark/>
          </w:tcPr>
          <w:p w14:paraId="2565EE84"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Precommitment</w:t>
            </w:r>
          </w:p>
        </w:tc>
        <w:tc>
          <w:tcPr>
            <w:tcW w:w="497" w:type="pct"/>
            <w:tcBorders>
              <w:top w:val="nil"/>
              <w:left w:val="nil"/>
              <w:bottom w:val="single" w:sz="4" w:space="0" w:color="auto"/>
              <w:right w:val="nil"/>
            </w:tcBorders>
            <w:shd w:val="clear" w:color="auto" w:fill="auto"/>
            <w:noWrap/>
            <w:vAlign w:val="center"/>
            <w:hideMark/>
          </w:tcPr>
          <w:p w14:paraId="527C097B"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Correlation with DV</w:t>
            </w:r>
          </w:p>
        </w:tc>
        <w:tc>
          <w:tcPr>
            <w:tcW w:w="682" w:type="pct"/>
            <w:tcBorders>
              <w:top w:val="nil"/>
              <w:left w:val="nil"/>
              <w:bottom w:val="single" w:sz="4" w:space="0" w:color="auto"/>
              <w:right w:val="nil"/>
            </w:tcBorders>
            <w:shd w:val="clear" w:color="auto" w:fill="auto"/>
            <w:noWrap/>
            <w:vAlign w:val="center"/>
            <w:hideMark/>
          </w:tcPr>
          <w:p w14:paraId="7B84911E"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Indirect effect</w:t>
            </w:r>
          </w:p>
        </w:tc>
      </w:tr>
      <w:tr w:rsidR="004532A8" w:rsidRPr="004E1328" w14:paraId="68FB6C4D" w14:textId="77777777" w:rsidTr="00C85417">
        <w:trPr>
          <w:trHeight w:val="300"/>
        </w:trPr>
        <w:tc>
          <w:tcPr>
            <w:tcW w:w="590" w:type="pct"/>
            <w:tcBorders>
              <w:top w:val="single" w:sz="4" w:space="0" w:color="auto"/>
              <w:left w:val="nil"/>
              <w:bottom w:val="nil"/>
              <w:right w:val="nil"/>
            </w:tcBorders>
            <w:shd w:val="clear" w:color="auto" w:fill="auto"/>
            <w:noWrap/>
            <w:vAlign w:val="center"/>
            <w:hideMark/>
          </w:tcPr>
          <w:p w14:paraId="0F9173FD" w14:textId="77777777" w:rsidR="004532A8" w:rsidRPr="004E1328" w:rsidRDefault="004532A8" w:rsidP="00C85417">
            <w:pPr>
              <w:jc w:val="center"/>
              <w:rPr>
                <w:rFonts w:asciiTheme="majorBidi" w:hAnsiTheme="majorBidi" w:cstheme="majorBidi"/>
                <w:color w:val="000000"/>
                <w:sz w:val="22"/>
                <w:szCs w:val="22"/>
              </w:rPr>
            </w:pPr>
          </w:p>
        </w:tc>
        <w:tc>
          <w:tcPr>
            <w:tcW w:w="2084" w:type="pct"/>
            <w:tcBorders>
              <w:top w:val="single" w:sz="4" w:space="0" w:color="auto"/>
              <w:left w:val="nil"/>
              <w:bottom w:val="nil"/>
              <w:right w:val="nil"/>
            </w:tcBorders>
            <w:shd w:val="clear" w:color="auto" w:fill="auto"/>
            <w:noWrap/>
            <w:vAlign w:val="center"/>
            <w:hideMark/>
          </w:tcPr>
          <w:p w14:paraId="5A1B78B1" w14:textId="77777777" w:rsidR="004532A8" w:rsidRPr="004E1328" w:rsidRDefault="004532A8" w:rsidP="00C85417">
            <w:pPr>
              <w:jc w:val="center"/>
              <w:rPr>
                <w:rFonts w:asciiTheme="majorBidi" w:hAnsiTheme="majorBidi" w:cstheme="majorBidi"/>
                <w:sz w:val="20"/>
                <w:szCs w:val="20"/>
              </w:rPr>
            </w:pPr>
          </w:p>
        </w:tc>
        <w:tc>
          <w:tcPr>
            <w:tcW w:w="487" w:type="pct"/>
            <w:tcBorders>
              <w:top w:val="single" w:sz="4" w:space="0" w:color="auto"/>
              <w:left w:val="nil"/>
              <w:bottom w:val="single" w:sz="4" w:space="0" w:color="auto"/>
              <w:right w:val="nil"/>
            </w:tcBorders>
            <w:shd w:val="clear" w:color="auto" w:fill="auto"/>
            <w:noWrap/>
            <w:vAlign w:val="center"/>
            <w:hideMark/>
          </w:tcPr>
          <w:p w14:paraId="6AF1F896"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Mean (SD)</w:t>
            </w:r>
          </w:p>
        </w:tc>
        <w:tc>
          <w:tcPr>
            <w:tcW w:w="660" w:type="pct"/>
            <w:tcBorders>
              <w:top w:val="single" w:sz="4" w:space="0" w:color="auto"/>
              <w:left w:val="nil"/>
              <w:bottom w:val="single" w:sz="4" w:space="0" w:color="auto"/>
              <w:right w:val="nil"/>
            </w:tcBorders>
            <w:shd w:val="clear" w:color="auto" w:fill="auto"/>
            <w:noWrap/>
            <w:vAlign w:val="center"/>
            <w:hideMark/>
          </w:tcPr>
          <w:p w14:paraId="5FDA8DF9"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Mean (SD)</w:t>
            </w:r>
          </w:p>
        </w:tc>
        <w:tc>
          <w:tcPr>
            <w:tcW w:w="497" w:type="pct"/>
            <w:tcBorders>
              <w:top w:val="single" w:sz="4" w:space="0" w:color="auto"/>
              <w:left w:val="nil"/>
              <w:bottom w:val="single" w:sz="4" w:space="0" w:color="auto"/>
              <w:right w:val="nil"/>
            </w:tcBorders>
            <w:shd w:val="clear" w:color="auto" w:fill="auto"/>
            <w:noWrap/>
            <w:vAlign w:val="center"/>
            <w:hideMark/>
          </w:tcPr>
          <w:p w14:paraId="5E85707B"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r</w:t>
            </w:r>
          </w:p>
        </w:tc>
        <w:tc>
          <w:tcPr>
            <w:tcW w:w="682" w:type="pct"/>
            <w:tcBorders>
              <w:top w:val="single" w:sz="4" w:space="0" w:color="auto"/>
              <w:left w:val="nil"/>
              <w:bottom w:val="single" w:sz="4" w:space="0" w:color="auto"/>
              <w:right w:val="nil"/>
            </w:tcBorders>
            <w:shd w:val="clear" w:color="auto" w:fill="auto"/>
            <w:noWrap/>
            <w:vAlign w:val="center"/>
            <w:hideMark/>
          </w:tcPr>
          <w:p w14:paraId="40391585"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95% CI</w:t>
            </w:r>
          </w:p>
        </w:tc>
      </w:tr>
      <w:tr w:rsidR="004532A8" w:rsidRPr="004E1328" w14:paraId="58958475" w14:textId="77777777" w:rsidTr="00C85417">
        <w:trPr>
          <w:trHeight w:val="300"/>
        </w:trPr>
        <w:tc>
          <w:tcPr>
            <w:tcW w:w="590" w:type="pct"/>
            <w:tcBorders>
              <w:top w:val="nil"/>
              <w:left w:val="nil"/>
              <w:bottom w:val="nil"/>
              <w:right w:val="nil"/>
            </w:tcBorders>
            <w:shd w:val="clear" w:color="auto" w:fill="auto"/>
            <w:noWrap/>
            <w:vAlign w:val="center"/>
            <w:hideMark/>
          </w:tcPr>
          <w:p w14:paraId="1076AFC6" w14:textId="63662847" w:rsidR="004532A8" w:rsidRPr="004E1328" w:rsidRDefault="004532A8" w:rsidP="00C85417">
            <w:pPr>
              <w:jc w:val="center"/>
              <w:rPr>
                <w:rFonts w:asciiTheme="majorBidi" w:hAnsiTheme="majorBidi" w:cstheme="majorBidi"/>
                <w:color w:val="000000"/>
                <w:sz w:val="22"/>
                <w:szCs w:val="22"/>
              </w:rPr>
            </w:pPr>
            <w:proofErr w:type="spellStart"/>
            <w:r w:rsidRPr="004E1328">
              <w:rPr>
                <w:rFonts w:asciiTheme="majorBidi" w:hAnsiTheme="majorBidi" w:cstheme="majorBidi"/>
                <w:color w:val="000000"/>
                <w:sz w:val="22"/>
                <w:szCs w:val="22"/>
              </w:rPr>
              <w:t>Plan</w:t>
            </w:r>
            <w:r w:rsidR="00652DF7">
              <w:rPr>
                <w:rFonts w:asciiTheme="majorBidi" w:hAnsiTheme="majorBidi" w:cstheme="majorBidi"/>
                <w:color w:val="000000"/>
                <w:sz w:val="22"/>
                <w:szCs w:val="22"/>
              </w:rPr>
              <w:t>_Safer</w:t>
            </w:r>
            <w:proofErr w:type="spellEnd"/>
          </w:p>
        </w:tc>
        <w:tc>
          <w:tcPr>
            <w:tcW w:w="2084" w:type="pct"/>
            <w:tcBorders>
              <w:top w:val="nil"/>
              <w:left w:val="nil"/>
              <w:bottom w:val="nil"/>
              <w:right w:val="nil"/>
            </w:tcBorders>
            <w:shd w:val="clear" w:color="auto" w:fill="auto"/>
            <w:noWrap/>
            <w:vAlign w:val="center"/>
            <w:hideMark/>
          </w:tcPr>
          <w:p w14:paraId="344204B0" w14:textId="3EFD4502"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 xml:space="preserve">Do they make a </w:t>
            </w:r>
            <w:r w:rsidR="005C78DB">
              <w:rPr>
                <w:rFonts w:asciiTheme="majorBidi" w:hAnsiTheme="majorBidi" w:cstheme="majorBidi"/>
                <w:color w:val="000000"/>
                <w:sz w:val="22"/>
                <w:szCs w:val="22"/>
              </w:rPr>
              <w:t xml:space="preserve">safe or mixed </w:t>
            </w:r>
            <w:r w:rsidRPr="004E1328">
              <w:rPr>
                <w:rFonts w:asciiTheme="majorBidi" w:hAnsiTheme="majorBidi" w:cstheme="majorBidi"/>
                <w:color w:val="000000"/>
                <w:sz w:val="22"/>
                <w:szCs w:val="22"/>
              </w:rPr>
              <w:t>plan at the beginning</w:t>
            </w:r>
            <w:r w:rsidR="00652DF7">
              <w:rPr>
                <w:rFonts w:asciiTheme="majorBidi" w:hAnsiTheme="majorBidi" w:cstheme="majorBidi"/>
                <w:color w:val="000000"/>
                <w:sz w:val="22"/>
                <w:szCs w:val="22"/>
              </w:rPr>
              <w:t xml:space="preserve"> of </w:t>
            </w:r>
            <w:r w:rsidR="00E467E4">
              <w:rPr>
                <w:rFonts w:asciiTheme="majorBidi" w:hAnsiTheme="majorBidi" w:cstheme="majorBidi"/>
                <w:color w:val="000000"/>
                <w:sz w:val="22"/>
                <w:szCs w:val="22"/>
              </w:rPr>
              <w:t>each</w:t>
            </w:r>
            <w:r w:rsidR="00652DF7">
              <w:rPr>
                <w:rFonts w:asciiTheme="majorBidi" w:hAnsiTheme="majorBidi" w:cstheme="majorBidi"/>
                <w:color w:val="000000"/>
                <w:sz w:val="22"/>
                <w:szCs w:val="22"/>
              </w:rPr>
              <w:t xml:space="preserve"> block</w:t>
            </w:r>
            <w:r w:rsidRPr="004E1328">
              <w:rPr>
                <w:rFonts w:asciiTheme="majorBidi" w:hAnsiTheme="majorBidi" w:cstheme="majorBidi"/>
                <w:color w:val="000000"/>
                <w:sz w:val="22"/>
                <w:szCs w:val="22"/>
              </w:rPr>
              <w:t>? (Safe, Debt-avoiding, and Mixed strategies coded as 1; Unsafe and Random strategies coded as 0</w:t>
            </w:r>
            <w:r w:rsidR="00E467E4">
              <w:rPr>
                <w:rFonts w:asciiTheme="majorBidi" w:hAnsiTheme="majorBidi" w:cstheme="majorBidi"/>
                <w:color w:val="000000"/>
                <w:sz w:val="22"/>
                <w:szCs w:val="22"/>
              </w:rPr>
              <w:t>; total score is 0-4</w:t>
            </w:r>
            <w:r w:rsidRPr="004E1328">
              <w:rPr>
                <w:rFonts w:asciiTheme="majorBidi" w:hAnsiTheme="majorBidi" w:cstheme="majorBidi"/>
                <w:color w:val="000000"/>
                <w:sz w:val="22"/>
                <w:szCs w:val="22"/>
              </w:rPr>
              <w:t>).</w:t>
            </w:r>
          </w:p>
        </w:tc>
        <w:tc>
          <w:tcPr>
            <w:tcW w:w="487" w:type="pct"/>
            <w:tcBorders>
              <w:top w:val="single" w:sz="4" w:space="0" w:color="auto"/>
              <w:left w:val="nil"/>
              <w:bottom w:val="nil"/>
              <w:right w:val="nil"/>
            </w:tcBorders>
            <w:shd w:val="clear" w:color="auto" w:fill="auto"/>
            <w:noWrap/>
            <w:vAlign w:val="center"/>
            <w:hideMark/>
          </w:tcPr>
          <w:p w14:paraId="63BAB1E5"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.47 (.83)</w:t>
            </w:r>
          </w:p>
        </w:tc>
        <w:tc>
          <w:tcPr>
            <w:tcW w:w="660" w:type="pct"/>
            <w:tcBorders>
              <w:top w:val="single" w:sz="4" w:space="0" w:color="auto"/>
              <w:left w:val="nil"/>
              <w:bottom w:val="nil"/>
              <w:right w:val="nil"/>
            </w:tcBorders>
            <w:shd w:val="clear" w:color="auto" w:fill="auto"/>
            <w:noWrap/>
            <w:vAlign w:val="center"/>
            <w:hideMark/>
          </w:tcPr>
          <w:p w14:paraId="0C4795DB"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1.34 (1.35)</w:t>
            </w:r>
          </w:p>
        </w:tc>
        <w:tc>
          <w:tcPr>
            <w:tcW w:w="497" w:type="pct"/>
            <w:tcBorders>
              <w:top w:val="single" w:sz="4" w:space="0" w:color="auto"/>
              <w:left w:val="nil"/>
              <w:bottom w:val="nil"/>
              <w:right w:val="nil"/>
            </w:tcBorders>
            <w:shd w:val="clear" w:color="auto" w:fill="auto"/>
            <w:noWrap/>
            <w:vAlign w:val="center"/>
            <w:hideMark/>
          </w:tcPr>
          <w:p w14:paraId="314CA91C"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.55***</w:t>
            </w:r>
          </w:p>
        </w:tc>
        <w:tc>
          <w:tcPr>
            <w:tcW w:w="682" w:type="pct"/>
            <w:tcBorders>
              <w:top w:val="single" w:sz="4" w:space="0" w:color="auto"/>
              <w:left w:val="nil"/>
              <w:bottom w:val="nil"/>
              <w:right w:val="nil"/>
            </w:tcBorders>
            <w:shd w:val="clear" w:color="auto" w:fill="auto"/>
            <w:noWrap/>
            <w:vAlign w:val="center"/>
            <w:hideMark/>
          </w:tcPr>
          <w:p w14:paraId="650053A3"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[.05,.18]</w:t>
            </w:r>
          </w:p>
        </w:tc>
      </w:tr>
      <w:tr w:rsidR="004532A8" w:rsidRPr="004E1328" w14:paraId="2B777E90" w14:textId="77777777" w:rsidTr="00C85417">
        <w:trPr>
          <w:trHeight w:val="300"/>
        </w:trPr>
        <w:tc>
          <w:tcPr>
            <w:tcW w:w="590" w:type="pct"/>
            <w:tcBorders>
              <w:top w:val="nil"/>
              <w:left w:val="nil"/>
              <w:bottom w:val="nil"/>
              <w:right w:val="nil"/>
            </w:tcBorders>
            <w:shd w:val="clear" w:color="auto" w:fill="auto"/>
            <w:noWrap/>
            <w:vAlign w:val="center"/>
            <w:hideMark/>
          </w:tcPr>
          <w:p w14:paraId="7B075A16"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Prob</w:t>
            </w:r>
          </w:p>
        </w:tc>
        <w:tc>
          <w:tcPr>
            <w:tcW w:w="2084" w:type="pct"/>
            <w:tcBorders>
              <w:top w:val="nil"/>
              <w:left w:val="nil"/>
              <w:bottom w:val="nil"/>
              <w:right w:val="nil"/>
            </w:tcBorders>
            <w:shd w:val="clear" w:color="auto" w:fill="auto"/>
            <w:noWrap/>
            <w:vAlign w:val="center"/>
            <w:hideMark/>
          </w:tcPr>
          <w:p w14:paraId="6417F92C"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lang w:val="en-CA"/>
              </w:rPr>
              <w:t>How many times do they mention probability, chance, or luck?</w:t>
            </w:r>
          </w:p>
        </w:tc>
        <w:tc>
          <w:tcPr>
            <w:tcW w:w="487" w:type="pct"/>
            <w:tcBorders>
              <w:top w:val="nil"/>
              <w:left w:val="nil"/>
              <w:bottom w:val="nil"/>
              <w:right w:val="nil"/>
            </w:tcBorders>
            <w:shd w:val="clear" w:color="auto" w:fill="auto"/>
            <w:noWrap/>
            <w:vAlign w:val="center"/>
            <w:hideMark/>
          </w:tcPr>
          <w:p w14:paraId="06BEFE81"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3.47 (2.95)</w:t>
            </w:r>
          </w:p>
        </w:tc>
        <w:tc>
          <w:tcPr>
            <w:tcW w:w="660" w:type="pct"/>
            <w:tcBorders>
              <w:top w:val="nil"/>
              <w:left w:val="nil"/>
              <w:bottom w:val="nil"/>
              <w:right w:val="nil"/>
            </w:tcBorders>
            <w:shd w:val="clear" w:color="auto" w:fill="auto"/>
            <w:noWrap/>
            <w:vAlign w:val="center"/>
            <w:hideMark/>
          </w:tcPr>
          <w:p w14:paraId="68365575"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2.84 (2.75)</w:t>
            </w:r>
          </w:p>
        </w:tc>
        <w:tc>
          <w:tcPr>
            <w:tcW w:w="497" w:type="pct"/>
            <w:tcBorders>
              <w:top w:val="nil"/>
              <w:left w:val="nil"/>
              <w:bottom w:val="nil"/>
              <w:right w:val="nil"/>
            </w:tcBorders>
            <w:shd w:val="clear" w:color="auto" w:fill="auto"/>
            <w:noWrap/>
            <w:vAlign w:val="center"/>
            <w:hideMark/>
          </w:tcPr>
          <w:p w14:paraId="077944FF"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-0.05</w:t>
            </w:r>
          </w:p>
        </w:tc>
        <w:tc>
          <w:tcPr>
            <w:tcW w:w="682" w:type="pct"/>
            <w:tcBorders>
              <w:top w:val="nil"/>
              <w:left w:val="nil"/>
              <w:bottom w:val="nil"/>
              <w:right w:val="nil"/>
            </w:tcBorders>
            <w:shd w:val="clear" w:color="auto" w:fill="auto"/>
            <w:noWrap/>
            <w:vAlign w:val="center"/>
            <w:hideMark/>
          </w:tcPr>
          <w:p w14:paraId="525895CB"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[-.02,.02]</w:t>
            </w:r>
          </w:p>
        </w:tc>
      </w:tr>
      <w:tr w:rsidR="004532A8" w:rsidRPr="004E1328" w14:paraId="67FC091A" w14:textId="77777777" w:rsidTr="00C85417">
        <w:trPr>
          <w:trHeight w:val="300"/>
        </w:trPr>
        <w:tc>
          <w:tcPr>
            <w:tcW w:w="590" w:type="pct"/>
            <w:tcBorders>
              <w:top w:val="nil"/>
              <w:left w:val="nil"/>
              <w:bottom w:val="nil"/>
              <w:right w:val="nil"/>
            </w:tcBorders>
            <w:shd w:val="clear" w:color="auto" w:fill="auto"/>
            <w:noWrap/>
            <w:vAlign w:val="center"/>
            <w:hideMark/>
          </w:tcPr>
          <w:p w14:paraId="223F30C8" w14:textId="77777777" w:rsidR="004532A8" w:rsidRPr="004E1328" w:rsidRDefault="004532A8" w:rsidP="00C85417">
            <w:pPr>
              <w:jc w:val="center"/>
              <w:rPr>
                <w:rFonts w:asciiTheme="majorBidi" w:hAnsiTheme="majorBidi" w:cstheme="majorBidi"/>
                <w:color w:val="000000"/>
                <w:sz w:val="22"/>
                <w:szCs w:val="22"/>
              </w:rPr>
            </w:pPr>
            <w:proofErr w:type="spellStart"/>
            <w:r w:rsidRPr="004E1328">
              <w:rPr>
                <w:rFonts w:asciiTheme="majorBidi" w:hAnsiTheme="majorBidi" w:cstheme="majorBidi"/>
                <w:color w:val="000000"/>
                <w:sz w:val="22"/>
                <w:szCs w:val="22"/>
              </w:rPr>
              <w:t>Prob_lucky</w:t>
            </w:r>
            <w:proofErr w:type="spellEnd"/>
          </w:p>
        </w:tc>
        <w:tc>
          <w:tcPr>
            <w:tcW w:w="2084" w:type="pct"/>
            <w:tcBorders>
              <w:top w:val="nil"/>
              <w:left w:val="nil"/>
              <w:bottom w:val="nil"/>
              <w:right w:val="nil"/>
            </w:tcBorders>
            <w:shd w:val="clear" w:color="auto" w:fill="auto"/>
            <w:noWrap/>
            <w:vAlign w:val="center"/>
            <w:hideMark/>
          </w:tcPr>
          <w:p w14:paraId="6D3F33A8"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lang w:val="en-CA"/>
              </w:rPr>
              <w:t>How often do they mention "getting lucky" or similar? Could be in the future or the past.</w:t>
            </w:r>
          </w:p>
        </w:tc>
        <w:tc>
          <w:tcPr>
            <w:tcW w:w="487" w:type="pct"/>
            <w:tcBorders>
              <w:top w:val="nil"/>
              <w:left w:val="nil"/>
              <w:bottom w:val="nil"/>
              <w:right w:val="nil"/>
            </w:tcBorders>
            <w:shd w:val="clear" w:color="auto" w:fill="auto"/>
            <w:noWrap/>
            <w:vAlign w:val="center"/>
            <w:hideMark/>
          </w:tcPr>
          <w:p w14:paraId="2CADAD6B"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.76 (1.36)</w:t>
            </w:r>
          </w:p>
        </w:tc>
        <w:tc>
          <w:tcPr>
            <w:tcW w:w="660" w:type="pct"/>
            <w:tcBorders>
              <w:top w:val="nil"/>
              <w:left w:val="nil"/>
              <w:bottom w:val="nil"/>
              <w:right w:val="nil"/>
            </w:tcBorders>
            <w:shd w:val="clear" w:color="auto" w:fill="auto"/>
            <w:noWrap/>
            <w:vAlign w:val="center"/>
            <w:hideMark/>
          </w:tcPr>
          <w:p w14:paraId="1DE29F3D"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.52 (.85)</w:t>
            </w:r>
          </w:p>
        </w:tc>
        <w:tc>
          <w:tcPr>
            <w:tcW w:w="497" w:type="pct"/>
            <w:tcBorders>
              <w:top w:val="nil"/>
              <w:left w:val="nil"/>
              <w:bottom w:val="nil"/>
              <w:right w:val="nil"/>
            </w:tcBorders>
            <w:shd w:val="clear" w:color="auto" w:fill="auto"/>
            <w:noWrap/>
            <w:vAlign w:val="center"/>
            <w:hideMark/>
          </w:tcPr>
          <w:p w14:paraId="1A03B7EF"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0.13</w:t>
            </w:r>
          </w:p>
        </w:tc>
        <w:tc>
          <w:tcPr>
            <w:tcW w:w="682" w:type="pct"/>
            <w:tcBorders>
              <w:top w:val="nil"/>
              <w:left w:val="nil"/>
              <w:bottom w:val="nil"/>
              <w:right w:val="nil"/>
            </w:tcBorders>
            <w:shd w:val="clear" w:color="auto" w:fill="auto"/>
            <w:noWrap/>
            <w:vAlign w:val="center"/>
            <w:hideMark/>
          </w:tcPr>
          <w:p w14:paraId="1BB41E53"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[-.03,.01]</w:t>
            </w:r>
          </w:p>
        </w:tc>
      </w:tr>
      <w:tr w:rsidR="004532A8" w:rsidRPr="004E1328" w14:paraId="34A7EC27" w14:textId="77777777" w:rsidTr="00C85417">
        <w:trPr>
          <w:trHeight w:val="300"/>
        </w:trPr>
        <w:tc>
          <w:tcPr>
            <w:tcW w:w="590" w:type="pct"/>
            <w:tcBorders>
              <w:top w:val="nil"/>
              <w:left w:val="nil"/>
              <w:bottom w:val="nil"/>
              <w:right w:val="nil"/>
            </w:tcBorders>
            <w:shd w:val="clear" w:color="auto" w:fill="auto"/>
            <w:noWrap/>
            <w:vAlign w:val="center"/>
            <w:hideMark/>
          </w:tcPr>
          <w:p w14:paraId="4AF61811" w14:textId="77777777" w:rsidR="004532A8" w:rsidRPr="004E1328" w:rsidRDefault="004532A8" w:rsidP="00C85417">
            <w:pPr>
              <w:jc w:val="center"/>
              <w:rPr>
                <w:rFonts w:asciiTheme="majorBidi" w:hAnsiTheme="majorBidi" w:cstheme="majorBidi"/>
                <w:color w:val="000000"/>
                <w:sz w:val="22"/>
                <w:szCs w:val="22"/>
              </w:rPr>
            </w:pPr>
            <w:proofErr w:type="spellStart"/>
            <w:r w:rsidRPr="004E1328">
              <w:rPr>
                <w:rFonts w:asciiTheme="majorBidi" w:hAnsiTheme="majorBidi" w:cstheme="majorBidi"/>
                <w:color w:val="000000"/>
                <w:sz w:val="22"/>
                <w:szCs w:val="22"/>
              </w:rPr>
              <w:t>Prob_unlucky</w:t>
            </w:r>
            <w:proofErr w:type="spellEnd"/>
          </w:p>
        </w:tc>
        <w:tc>
          <w:tcPr>
            <w:tcW w:w="2084" w:type="pct"/>
            <w:tcBorders>
              <w:top w:val="nil"/>
              <w:left w:val="nil"/>
              <w:bottom w:val="nil"/>
              <w:right w:val="nil"/>
            </w:tcBorders>
            <w:shd w:val="clear" w:color="auto" w:fill="auto"/>
            <w:noWrap/>
            <w:vAlign w:val="center"/>
            <w:hideMark/>
          </w:tcPr>
          <w:p w14:paraId="5E06140C"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lang w:val="en-CA"/>
              </w:rPr>
              <w:t>How often do they mention "getting unlucky" or similar? Could be in the future or the past.</w:t>
            </w:r>
          </w:p>
        </w:tc>
        <w:tc>
          <w:tcPr>
            <w:tcW w:w="487" w:type="pct"/>
            <w:tcBorders>
              <w:top w:val="nil"/>
              <w:left w:val="nil"/>
              <w:bottom w:val="nil"/>
              <w:right w:val="nil"/>
            </w:tcBorders>
            <w:shd w:val="clear" w:color="auto" w:fill="auto"/>
            <w:noWrap/>
            <w:vAlign w:val="center"/>
            <w:hideMark/>
          </w:tcPr>
          <w:p w14:paraId="2A3C0254"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.20 (.45)</w:t>
            </w:r>
          </w:p>
        </w:tc>
        <w:tc>
          <w:tcPr>
            <w:tcW w:w="660" w:type="pct"/>
            <w:tcBorders>
              <w:top w:val="nil"/>
              <w:left w:val="nil"/>
              <w:bottom w:val="nil"/>
              <w:right w:val="nil"/>
            </w:tcBorders>
            <w:shd w:val="clear" w:color="auto" w:fill="auto"/>
            <w:noWrap/>
            <w:vAlign w:val="center"/>
            <w:hideMark/>
          </w:tcPr>
          <w:p w14:paraId="5B320E8E"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.05 (.18)</w:t>
            </w:r>
          </w:p>
        </w:tc>
        <w:tc>
          <w:tcPr>
            <w:tcW w:w="497" w:type="pct"/>
            <w:tcBorders>
              <w:top w:val="nil"/>
              <w:left w:val="nil"/>
              <w:bottom w:val="nil"/>
              <w:right w:val="nil"/>
            </w:tcBorders>
            <w:shd w:val="clear" w:color="auto" w:fill="auto"/>
            <w:noWrap/>
            <w:vAlign w:val="center"/>
            <w:hideMark/>
          </w:tcPr>
          <w:p w14:paraId="2A6546B6"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0.01</w:t>
            </w:r>
          </w:p>
        </w:tc>
        <w:tc>
          <w:tcPr>
            <w:tcW w:w="682" w:type="pct"/>
            <w:tcBorders>
              <w:top w:val="nil"/>
              <w:left w:val="nil"/>
              <w:bottom w:val="nil"/>
              <w:right w:val="nil"/>
            </w:tcBorders>
            <w:shd w:val="clear" w:color="auto" w:fill="auto"/>
            <w:noWrap/>
            <w:vAlign w:val="center"/>
            <w:hideMark/>
          </w:tcPr>
          <w:p w14:paraId="0A5687E4"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[-.04,.01]</w:t>
            </w:r>
          </w:p>
        </w:tc>
      </w:tr>
      <w:tr w:rsidR="004532A8" w:rsidRPr="004E1328" w14:paraId="344F77C6" w14:textId="77777777" w:rsidTr="00C85417">
        <w:trPr>
          <w:trHeight w:val="300"/>
        </w:trPr>
        <w:tc>
          <w:tcPr>
            <w:tcW w:w="590" w:type="pct"/>
            <w:tcBorders>
              <w:top w:val="nil"/>
              <w:left w:val="nil"/>
              <w:bottom w:val="nil"/>
              <w:right w:val="nil"/>
            </w:tcBorders>
            <w:shd w:val="clear" w:color="auto" w:fill="auto"/>
            <w:noWrap/>
            <w:vAlign w:val="center"/>
            <w:hideMark/>
          </w:tcPr>
          <w:p w14:paraId="291B6218"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Insight</w:t>
            </w:r>
          </w:p>
        </w:tc>
        <w:tc>
          <w:tcPr>
            <w:tcW w:w="2084" w:type="pct"/>
            <w:tcBorders>
              <w:top w:val="nil"/>
              <w:left w:val="nil"/>
              <w:bottom w:val="nil"/>
              <w:right w:val="nil"/>
            </w:tcBorders>
            <w:shd w:val="clear" w:color="auto" w:fill="auto"/>
            <w:noWrap/>
            <w:vAlign w:val="center"/>
            <w:hideMark/>
          </w:tcPr>
          <w:p w14:paraId="1A8F08F7"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Insight words (e.g., think, know, consider); Generated by LIWC 2015</w:t>
            </w:r>
          </w:p>
        </w:tc>
        <w:tc>
          <w:tcPr>
            <w:tcW w:w="487" w:type="pct"/>
            <w:tcBorders>
              <w:top w:val="nil"/>
              <w:left w:val="nil"/>
              <w:bottom w:val="double" w:sz="4" w:space="0" w:color="auto"/>
              <w:right w:val="nil"/>
            </w:tcBorders>
            <w:shd w:val="clear" w:color="auto" w:fill="auto"/>
            <w:noWrap/>
            <w:vAlign w:val="center"/>
            <w:hideMark/>
          </w:tcPr>
          <w:p w14:paraId="7C57A1D3"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4.07 (1.70)</w:t>
            </w:r>
          </w:p>
        </w:tc>
        <w:tc>
          <w:tcPr>
            <w:tcW w:w="660" w:type="pct"/>
            <w:tcBorders>
              <w:top w:val="nil"/>
              <w:left w:val="nil"/>
              <w:bottom w:val="double" w:sz="4" w:space="0" w:color="auto"/>
              <w:right w:val="nil"/>
            </w:tcBorders>
            <w:shd w:val="clear" w:color="auto" w:fill="auto"/>
            <w:noWrap/>
            <w:vAlign w:val="center"/>
            <w:hideMark/>
          </w:tcPr>
          <w:p w14:paraId="48E82166"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4.93 (2.21)</w:t>
            </w:r>
          </w:p>
        </w:tc>
        <w:tc>
          <w:tcPr>
            <w:tcW w:w="497" w:type="pct"/>
            <w:tcBorders>
              <w:top w:val="nil"/>
              <w:left w:val="nil"/>
              <w:bottom w:val="double" w:sz="4" w:space="0" w:color="auto"/>
              <w:right w:val="nil"/>
            </w:tcBorders>
            <w:shd w:val="clear" w:color="auto" w:fill="auto"/>
            <w:noWrap/>
            <w:vAlign w:val="center"/>
            <w:hideMark/>
          </w:tcPr>
          <w:p w14:paraId="0C5628BD"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.34**</w:t>
            </w:r>
          </w:p>
        </w:tc>
        <w:tc>
          <w:tcPr>
            <w:tcW w:w="682" w:type="pct"/>
            <w:tcBorders>
              <w:top w:val="nil"/>
              <w:left w:val="nil"/>
              <w:bottom w:val="double" w:sz="4" w:space="0" w:color="auto"/>
              <w:right w:val="nil"/>
            </w:tcBorders>
            <w:shd w:val="clear" w:color="auto" w:fill="auto"/>
            <w:noWrap/>
            <w:vAlign w:val="center"/>
            <w:hideMark/>
          </w:tcPr>
          <w:p w14:paraId="6065969A"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[.003,.08]</w:t>
            </w:r>
          </w:p>
        </w:tc>
      </w:tr>
      <w:tr w:rsidR="004532A8" w:rsidRPr="004E1328" w14:paraId="26031F98" w14:textId="77777777" w:rsidTr="00C85417">
        <w:trPr>
          <w:trHeight w:val="300"/>
        </w:trPr>
        <w:tc>
          <w:tcPr>
            <w:tcW w:w="590" w:type="pct"/>
            <w:tcBorders>
              <w:top w:val="nil"/>
              <w:left w:val="nil"/>
              <w:right w:val="nil"/>
            </w:tcBorders>
            <w:shd w:val="clear" w:color="auto" w:fill="auto"/>
            <w:noWrap/>
            <w:vAlign w:val="center"/>
            <w:hideMark/>
          </w:tcPr>
          <w:p w14:paraId="67B2BAFF" w14:textId="77777777" w:rsidR="004532A8" w:rsidRPr="004E1328" w:rsidRDefault="004532A8" w:rsidP="00C85417">
            <w:pPr>
              <w:jc w:val="center"/>
              <w:rPr>
                <w:rFonts w:asciiTheme="majorBidi" w:hAnsiTheme="majorBidi" w:cstheme="majorBidi"/>
                <w:color w:val="000000"/>
                <w:sz w:val="22"/>
                <w:szCs w:val="22"/>
              </w:rPr>
            </w:pPr>
          </w:p>
        </w:tc>
        <w:tc>
          <w:tcPr>
            <w:tcW w:w="2084" w:type="pct"/>
            <w:tcBorders>
              <w:top w:val="nil"/>
              <w:left w:val="nil"/>
              <w:right w:val="nil"/>
            </w:tcBorders>
            <w:shd w:val="clear" w:color="auto" w:fill="auto"/>
            <w:noWrap/>
            <w:vAlign w:val="center"/>
            <w:hideMark/>
          </w:tcPr>
          <w:p w14:paraId="4EBCC132" w14:textId="77777777" w:rsidR="004532A8" w:rsidRPr="004E1328" w:rsidRDefault="004532A8" w:rsidP="00C85417">
            <w:pPr>
              <w:jc w:val="center"/>
              <w:rPr>
                <w:rFonts w:asciiTheme="majorBidi" w:hAnsiTheme="majorBidi" w:cstheme="majorBidi"/>
                <w:sz w:val="20"/>
                <w:szCs w:val="20"/>
              </w:rPr>
            </w:pPr>
          </w:p>
        </w:tc>
        <w:tc>
          <w:tcPr>
            <w:tcW w:w="487" w:type="pct"/>
            <w:tcBorders>
              <w:top w:val="double" w:sz="4" w:space="0" w:color="auto"/>
              <w:left w:val="nil"/>
              <w:bottom w:val="single" w:sz="4" w:space="0" w:color="auto"/>
              <w:right w:val="nil"/>
            </w:tcBorders>
            <w:shd w:val="clear" w:color="auto" w:fill="auto"/>
            <w:noWrap/>
            <w:vAlign w:val="center"/>
            <w:hideMark/>
          </w:tcPr>
          <w:p w14:paraId="3A4C7EF8" w14:textId="77777777" w:rsidR="004532A8" w:rsidRPr="004E1328" w:rsidRDefault="004532A8" w:rsidP="00C85417">
            <w:pPr>
              <w:jc w:val="center"/>
              <w:rPr>
                <w:rFonts w:asciiTheme="majorBidi" w:hAnsiTheme="majorBidi" w:cstheme="majorBidi"/>
                <w:sz w:val="20"/>
                <w:szCs w:val="20"/>
              </w:rPr>
            </w:pPr>
            <w:r w:rsidRPr="004E1328">
              <w:rPr>
                <w:rFonts w:asciiTheme="majorBidi" w:hAnsiTheme="majorBidi" w:cstheme="majorBidi"/>
                <w:color w:val="000000"/>
                <w:sz w:val="22"/>
                <w:szCs w:val="22"/>
              </w:rPr>
              <w:t>Count (%)</w:t>
            </w:r>
          </w:p>
        </w:tc>
        <w:tc>
          <w:tcPr>
            <w:tcW w:w="660" w:type="pct"/>
            <w:tcBorders>
              <w:top w:val="double" w:sz="4" w:space="0" w:color="auto"/>
              <w:left w:val="nil"/>
              <w:bottom w:val="single" w:sz="4" w:space="0" w:color="auto"/>
              <w:right w:val="nil"/>
            </w:tcBorders>
            <w:shd w:val="clear" w:color="auto" w:fill="auto"/>
            <w:noWrap/>
            <w:vAlign w:val="center"/>
            <w:hideMark/>
          </w:tcPr>
          <w:p w14:paraId="23AFC7D6" w14:textId="77777777" w:rsidR="004532A8" w:rsidRPr="004E1328" w:rsidRDefault="004532A8" w:rsidP="00C85417">
            <w:pPr>
              <w:jc w:val="center"/>
              <w:rPr>
                <w:rFonts w:asciiTheme="majorBidi" w:hAnsiTheme="majorBidi" w:cstheme="majorBidi"/>
                <w:sz w:val="20"/>
                <w:szCs w:val="20"/>
              </w:rPr>
            </w:pPr>
            <w:r w:rsidRPr="004E1328">
              <w:rPr>
                <w:rFonts w:asciiTheme="majorBidi" w:hAnsiTheme="majorBidi" w:cstheme="majorBidi"/>
                <w:color w:val="000000"/>
                <w:sz w:val="22"/>
                <w:szCs w:val="22"/>
              </w:rPr>
              <w:t>Count (%)</w:t>
            </w:r>
          </w:p>
        </w:tc>
        <w:tc>
          <w:tcPr>
            <w:tcW w:w="497" w:type="pct"/>
            <w:tcBorders>
              <w:top w:val="double" w:sz="4" w:space="0" w:color="auto"/>
              <w:left w:val="nil"/>
              <w:bottom w:val="single" w:sz="4" w:space="0" w:color="auto"/>
              <w:right w:val="nil"/>
            </w:tcBorders>
            <w:shd w:val="clear" w:color="auto" w:fill="auto"/>
            <w:noWrap/>
            <w:vAlign w:val="center"/>
            <w:hideMark/>
          </w:tcPr>
          <w:p w14:paraId="29922B1E" w14:textId="77777777" w:rsidR="004532A8" w:rsidRPr="004E1328" w:rsidRDefault="004532A8" w:rsidP="00C85417">
            <w:pPr>
              <w:jc w:val="center"/>
              <w:rPr>
                <w:rFonts w:asciiTheme="majorBidi" w:hAnsiTheme="majorBidi" w:cstheme="majorBidi"/>
                <w:sz w:val="20"/>
                <w:szCs w:val="20"/>
              </w:rPr>
            </w:pPr>
            <w:r w:rsidRPr="004E1328">
              <w:rPr>
                <w:rFonts w:asciiTheme="majorBidi" w:hAnsiTheme="majorBidi" w:cstheme="majorBidi"/>
                <w:color w:val="000000"/>
                <w:sz w:val="22"/>
                <w:szCs w:val="22"/>
              </w:rPr>
              <w:t>t-test value with DV</w:t>
            </w:r>
          </w:p>
        </w:tc>
        <w:tc>
          <w:tcPr>
            <w:tcW w:w="682" w:type="pct"/>
            <w:tcBorders>
              <w:top w:val="double" w:sz="4" w:space="0" w:color="auto"/>
              <w:left w:val="nil"/>
              <w:bottom w:val="single" w:sz="4" w:space="0" w:color="auto"/>
              <w:right w:val="nil"/>
            </w:tcBorders>
            <w:shd w:val="clear" w:color="auto" w:fill="auto"/>
            <w:noWrap/>
            <w:vAlign w:val="center"/>
            <w:hideMark/>
          </w:tcPr>
          <w:p w14:paraId="678CF796" w14:textId="77777777" w:rsidR="004532A8" w:rsidRPr="004E1328" w:rsidRDefault="004532A8" w:rsidP="00C85417">
            <w:pPr>
              <w:jc w:val="center"/>
              <w:rPr>
                <w:rFonts w:asciiTheme="majorBidi" w:hAnsiTheme="majorBidi" w:cstheme="majorBidi"/>
                <w:sz w:val="20"/>
                <w:szCs w:val="20"/>
              </w:rPr>
            </w:pPr>
            <w:r w:rsidRPr="004E1328">
              <w:rPr>
                <w:rFonts w:asciiTheme="majorBidi" w:hAnsiTheme="majorBidi" w:cstheme="majorBidi"/>
                <w:color w:val="000000"/>
                <w:sz w:val="22"/>
                <w:szCs w:val="22"/>
              </w:rPr>
              <w:t>Indirect effect (Quasi-Bayesian CI)</w:t>
            </w:r>
          </w:p>
        </w:tc>
      </w:tr>
      <w:tr w:rsidR="004532A8" w:rsidRPr="004E1328" w14:paraId="51B53EB1" w14:textId="77777777" w:rsidTr="00C85417">
        <w:trPr>
          <w:trHeight w:val="300"/>
        </w:trPr>
        <w:tc>
          <w:tcPr>
            <w:tcW w:w="590" w:type="pct"/>
            <w:tcBorders>
              <w:top w:val="nil"/>
              <w:left w:val="nil"/>
              <w:bottom w:val="single" w:sz="4" w:space="0" w:color="auto"/>
              <w:right w:val="nil"/>
            </w:tcBorders>
            <w:shd w:val="clear" w:color="auto" w:fill="auto"/>
            <w:noWrap/>
            <w:vAlign w:val="center"/>
            <w:hideMark/>
          </w:tcPr>
          <w:p w14:paraId="60DFC57C" w14:textId="77777777" w:rsidR="004532A8" w:rsidRPr="004E1328" w:rsidRDefault="004532A8" w:rsidP="00C85417">
            <w:pPr>
              <w:jc w:val="center"/>
              <w:rPr>
                <w:rFonts w:asciiTheme="majorBidi" w:hAnsiTheme="majorBidi" w:cstheme="majorBidi"/>
                <w:sz w:val="20"/>
                <w:szCs w:val="20"/>
              </w:rPr>
            </w:pPr>
            <w:r w:rsidRPr="004E1328">
              <w:rPr>
                <w:rFonts w:asciiTheme="majorBidi" w:hAnsiTheme="majorBidi" w:cstheme="majorBidi"/>
                <w:color w:val="000000"/>
                <w:sz w:val="22"/>
                <w:szCs w:val="22"/>
              </w:rPr>
              <w:t>Outcomes</w:t>
            </w:r>
          </w:p>
        </w:tc>
        <w:tc>
          <w:tcPr>
            <w:tcW w:w="2084" w:type="pct"/>
            <w:tcBorders>
              <w:top w:val="nil"/>
              <w:left w:val="nil"/>
              <w:bottom w:val="single" w:sz="4" w:space="0" w:color="auto"/>
              <w:right w:val="nil"/>
            </w:tcBorders>
            <w:shd w:val="clear" w:color="auto" w:fill="auto"/>
            <w:noWrap/>
            <w:vAlign w:val="center"/>
            <w:hideMark/>
          </w:tcPr>
          <w:p w14:paraId="03A819E4" w14:textId="66A7BEEA" w:rsidR="004532A8" w:rsidRPr="004E1328" w:rsidRDefault="004532A8" w:rsidP="00C85417">
            <w:pPr>
              <w:jc w:val="center"/>
              <w:rPr>
                <w:rFonts w:asciiTheme="majorBidi" w:hAnsiTheme="majorBidi" w:cstheme="majorBidi"/>
                <w:sz w:val="20"/>
                <w:szCs w:val="20"/>
              </w:rPr>
            </w:pPr>
            <w:r w:rsidRPr="00ED2E48">
              <w:rPr>
                <w:rFonts w:asciiTheme="majorBidi" w:hAnsiTheme="majorBidi" w:cstheme="majorBidi"/>
                <w:color w:val="000000"/>
                <w:sz w:val="22"/>
                <w:szCs w:val="22"/>
              </w:rPr>
              <w:t>Whether participants spoke about outcomes (individual or overall) while</w:t>
            </w:r>
            <w:r>
              <w:rPr>
                <w:rFonts w:asciiTheme="majorBidi" w:hAnsiTheme="majorBidi" w:cstheme="majorBidi"/>
                <w:color w:val="000000"/>
                <w:sz w:val="22"/>
                <w:szCs w:val="22"/>
              </w:rPr>
              <w:t xml:space="preserve"> </w:t>
            </w:r>
            <w:r w:rsidRPr="00ED2E48">
              <w:rPr>
                <w:rFonts w:asciiTheme="majorBidi" w:hAnsiTheme="majorBidi" w:cstheme="majorBidi"/>
                <w:color w:val="000000"/>
                <w:sz w:val="22"/>
                <w:szCs w:val="22"/>
              </w:rPr>
              <w:t xml:space="preserve">they were planning </w:t>
            </w:r>
            <w:r w:rsidR="006E5996">
              <w:rPr>
                <w:rFonts w:asciiTheme="majorBidi" w:hAnsiTheme="majorBidi" w:cstheme="majorBidi"/>
                <w:color w:val="000000"/>
                <w:sz w:val="22"/>
                <w:szCs w:val="22"/>
              </w:rPr>
              <w:t xml:space="preserve">at the beginning </w:t>
            </w:r>
            <w:r w:rsidR="00AE70E5">
              <w:rPr>
                <w:rFonts w:asciiTheme="majorBidi" w:hAnsiTheme="majorBidi" w:cstheme="majorBidi"/>
                <w:color w:val="000000"/>
                <w:sz w:val="22"/>
                <w:szCs w:val="22"/>
              </w:rPr>
              <w:t xml:space="preserve">of the study </w:t>
            </w:r>
            <w:r w:rsidRPr="00ED2E48">
              <w:rPr>
                <w:rFonts w:asciiTheme="majorBidi" w:hAnsiTheme="majorBidi" w:cstheme="majorBidi"/>
                <w:color w:val="000000"/>
                <w:sz w:val="22"/>
                <w:szCs w:val="22"/>
              </w:rPr>
              <w:t>(mentioned</w:t>
            </w:r>
            <w:r w:rsidR="00652DF7" w:rsidRPr="00ED2E48">
              <w:rPr>
                <w:rFonts w:asciiTheme="majorBidi" w:hAnsiTheme="majorBidi" w:cstheme="majorBidi"/>
                <w:color w:val="000000"/>
                <w:sz w:val="22"/>
                <w:szCs w:val="22"/>
              </w:rPr>
              <w:t xml:space="preserve"> </w:t>
            </w:r>
            <w:r w:rsidRPr="00ED2E48">
              <w:rPr>
                <w:rFonts w:asciiTheme="majorBidi" w:hAnsiTheme="majorBidi" w:cstheme="majorBidi"/>
                <w:color w:val="000000"/>
                <w:sz w:val="22"/>
                <w:szCs w:val="22"/>
              </w:rPr>
              <w:t>=1, did not mention</w:t>
            </w:r>
            <w:r w:rsidR="00652DF7" w:rsidRPr="00ED2E48">
              <w:rPr>
                <w:rFonts w:asciiTheme="majorBidi" w:hAnsiTheme="majorBidi" w:cstheme="majorBidi"/>
                <w:color w:val="000000"/>
                <w:sz w:val="22"/>
                <w:szCs w:val="22"/>
              </w:rPr>
              <w:t xml:space="preserve"> </w:t>
            </w:r>
            <w:r w:rsidRPr="00ED2E48">
              <w:rPr>
                <w:rFonts w:asciiTheme="majorBidi" w:hAnsiTheme="majorBidi" w:cstheme="majorBidi"/>
                <w:color w:val="000000"/>
                <w:sz w:val="22"/>
                <w:szCs w:val="22"/>
              </w:rPr>
              <w:t>=0)</w:t>
            </w:r>
          </w:p>
        </w:tc>
        <w:tc>
          <w:tcPr>
            <w:tcW w:w="487" w:type="pct"/>
            <w:tcBorders>
              <w:top w:val="single" w:sz="4" w:space="0" w:color="auto"/>
              <w:left w:val="nil"/>
              <w:bottom w:val="nil"/>
              <w:right w:val="nil"/>
            </w:tcBorders>
            <w:shd w:val="clear" w:color="auto" w:fill="auto"/>
            <w:noWrap/>
            <w:vAlign w:val="center"/>
            <w:hideMark/>
          </w:tcPr>
          <w:p w14:paraId="62F5EC42"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6 (11.8%)</w:t>
            </w:r>
          </w:p>
        </w:tc>
        <w:tc>
          <w:tcPr>
            <w:tcW w:w="660" w:type="pct"/>
            <w:tcBorders>
              <w:top w:val="single" w:sz="4" w:space="0" w:color="auto"/>
              <w:left w:val="nil"/>
              <w:bottom w:val="nil"/>
              <w:right w:val="nil"/>
            </w:tcBorders>
            <w:shd w:val="clear" w:color="auto" w:fill="auto"/>
            <w:noWrap/>
            <w:vAlign w:val="center"/>
            <w:hideMark/>
          </w:tcPr>
          <w:p w14:paraId="0F75952B"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19 (38%)</w:t>
            </w:r>
          </w:p>
        </w:tc>
        <w:tc>
          <w:tcPr>
            <w:tcW w:w="497" w:type="pct"/>
            <w:tcBorders>
              <w:top w:val="single" w:sz="4" w:space="0" w:color="auto"/>
              <w:left w:val="nil"/>
              <w:bottom w:val="nil"/>
              <w:right w:val="nil"/>
            </w:tcBorders>
            <w:shd w:val="clear" w:color="auto" w:fill="auto"/>
            <w:noWrap/>
            <w:vAlign w:val="center"/>
            <w:hideMark/>
          </w:tcPr>
          <w:p w14:paraId="2CE84965"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3.88***</w:t>
            </w:r>
          </w:p>
        </w:tc>
        <w:tc>
          <w:tcPr>
            <w:tcW w:w="682" w:type="pct"/>
            <w:tcBorders>
              <w:top w:val="single" w:sz="4" w:space="0" w:color="auto"/>
              <w:left w:val="nil"/>
              <w:bottom w:val="nil"/>
              <w:right w:val="nil"/>
            </w:tcBorders>
            <w:shd w:val="clear" w:color="auto" w:fill="auto"/>
            <w:noWrap/>
            <w:vAlign w:val="center"/>
            <w:hideMark/>
          </w:tcPr>
          <w:p w14:paraId="66547910" w14:textId="77777777" w:rsidR="004532A8" w:rsidRPr="004E1328" w:rsidRDefault="004532A8" w:rsidP="00C85417">
            <w:pPr>
              <w:jc w:val="center"/>
              <w:rPr>
                <w:rFonts w:asciiTheme="majorBidi" w:hAnsiTheme="majorBidi" w:cstheme="majorBidi"/>
                <w:color w:val="000000"/>
                <w:sz w:val="22"/>
                <w:szCs w:val="22"/>
              </w:rPr>
            </w:pPr>
            <w:r w:rsidRPr="004E1328">
              <w:rPr>
                <w:rFonts w:asciiTheme="majorBidi" w:hAnsiTheme="majorBidi" w:cstheme="majorBidi"/>
                <w:color w:val="000000"/>
                <w:sz w:val="22"/>
                <w:szCs w:val="22"/>
              </w:rPr>
              <w:t>[.003,.04]</w:t>
            </w:r>
          </w:p>
        </w:tc>
      </w:tr>
      <w:tr w:rsidR="004532A8" w:rsidRPr="004E1328" w14:paraId="3CEF511F" w14:textId="77777777" w:rsidTr="00DB4815">
        <w:trPr>
          <w:trHeight w:val="300"/>
        </w:trPr>
        <w:tc>
          <w:tcPr>
            <w:tcW w:w="2674" w:type="pct"/>
            <w:gridSpan w:val="2"/>
            <w:tcBorders>
              <w:top w:val="single" w:sz="4" w:space="0" w:color="auto"/>
              <w:left w:val="nil"/>
              <w:bottom w:val="single" w:sz="4" w:space="0" w:color="auto"/>
              <w:right w:val="nil"/>
            </w:tcBorders>
            <w:shd w:val="clear" w:color="auto" w:fill="auto"/>
            <w:noWrap/>
            <w:vAlign w:val="center"/>
          </w:tcPr>
          <w:p w14:paraId="3132EB03" w14:textId="4608BEC7" w:rsidR="004532A8" w:rsidRPr="004E1328" w:rsidRDefault="004532A8" w:rsidP="00C85417">
            <w:pPr>
              <w:rPr>
                <w:rFonts w:asciiTheme="majorBidi" w:hAnsiTheme="majorBidi" w:cstheme="majorBidi"/>
                <w:color w:val="000000"/>
                <w:sz w:val="22"/>
                <w:szCs w:val="22"/>
              </w:rPr>
            </w:pPr>
            <w:r w:rsidRPr="008865EB">
              <w:rPr>
                <w:rFonts w:asciiTheme="majorBidi" w:hAnsiTheme="majorBidi" w:cstheme="majorBidi"/>
                <w:i/>
                <w:iCs/>
                <w:color w:val="000000"/>
                <w:sz w:val="22"/>
                <w:szCs w:val="22"/>
              </w:rPr>
              <w:t>Notes:</w:t>
            </w:r>
            <w:r>
              <w:rPr>
                <w:rFonts w:asciiTheme="majorBidi" w:hAnsiTheme="majorBidi" w:cstheme="majorBidi"/>
                <w:color w:val="000000"/>
                <w:sz w:val="22"/>
                <w:szCs w:val="22"/>
              </w:rPr>
              <w:t xml:space="preserve"> ***: </w:t>
            </w:r>
            <w:r w:rsidRPr="008865EB">
              <w:rPr>
                <w:rFonts w:asciiTheme="majorBidi" w:hAnsiTheme="majorBidi" w:cstheme="majorBidi"/>
                <w:i/>
                <w:iCs/>
                <w:color w:val="000000"/>
                <w:sz w:val="22"/>
                <w:szCs w:val="22"/>
              </w:rPr>
              <w:t>p</w:t>
            </w:r>
            <w:r>
              <w:rPr>
                <w:rFonts w:asciiTheme="majorBidi" w:hAnsiTheme="majorBidi" w:cstheme="majorBidi"/>
                <w:i/>
                <w:iCs/>
                <w:color w:val="000000"/>
                <w:sz w:val="22"/>
                <w:szCs w:val="22"/>
              </w:rPr>
              <w:t xml:space="preserve"> </w:t>
            </w:r>
            <w:r>
              <w:rPr>
                <w:rFonts w:asciiTheme="majorBidi" w:hAnsiTheme="majorBidi" w:cstheme="majorBidi"/>
                <w:color w:val="000000"/>
                <w:sz w:val="22"/>
                <w:szCs w:val="22"/>
              </w:rPr>
              <w:t xml:space="preserve">&lt; .001, **: </w:t>
            </w:r>
            <w:r w:rsidRPr="008865EB">
              <w:rPr>
                <w:rFonts w:asciiTheme="majorBidi" w:hAnsiTheme="majorBidi" w:cstheme="majorBidi"/>
                <w:i/>
                <w:iCs/>
                <w:color w:val="000000"/>
                <w:sz w:val="22"/>
                <w:szCs w:val="22"/>
              </w:rPr>
              <w:t>p</w:t>
            </w:r>
            <w:r>
              <w:rPr>
                <w:rFonts w:asciiTheme="majorBidi" w:hAnsiTheme="majorBidi" w:cstheme="majorBidi"/>
                <w:color w:val="000000"/>
                <w:sz w:val="22"/>
                <w:szCs w:val="22"/>
              </w:rPr>
              <w:t xml:space="preserve"> &lt; .01</w:t>
            </w:r>
            <w:r w:rsidR="00416B99">
              <w:rPr>
                <w:rFonts w:asciiTheme="majorBidi" w:hAnsiTheme="majorBidi" w:cstheme="majorBidi"/>
                <w:color w:val="000000"/>
                <w:sz w:val="22"/>
                <w:szCs w:val="22"/>
              </w:rPr>
              <w:t xml:space="preserve"> </w:t>
            </w:r>
          </w:p>
        </w:tc>
        <w:tc>
          <w:tcPr>
            <w:tcW w:w="487" w:type="pct"/>
            <w:tcBorders>
              <w:top w:val="single" w:sz="4" w:space="0" w:color="auto"/>
              <w:left w:val="nil"/>
              <w:bottom w:val="single" w:sz="4" w:space="0" w:color="auto"/>
              <w:right w:val="nil"/>
            </w:tcBorders>
            <w:shd w:val="clear" w:color="auto" w:fill="auto"/>
            <w:noWrap/>
            <w:vAlign w:val="center"/>
          </w:tcPr>
          <w:p w14:paraId="096E9C59" w14:textId="77777777" w:rsidR="004532A8" w:rsidRPr="004E1328" w:rsidRDefault="004532A8" w:rsidP="00C85417">
            <w:pPr>
              <w:jc w:val="center"/>
              <w:rPr>
                <w:rFonts w:asciiTheme="majorBidi" w:hAnsiTheme="majorBidi" w:cstheme="majorBidi"/>
                <w:color w:val="000000"/>
                <w:sz w:val="22"/>
                <w:szCs w:val="22"/>
              </w:rPr>
            </w:pPr>
          </w:p>
        </w:tc>
        <w:tc>
          <w:tcPr>
            <w:tcW w:w="660" w:type="pct"/>
            <w:tcBorders>
              <w:top w:val="single" w:sz="4" w:space="0" w:color="auto"/>
              <w:left w:val="nil"/>
              <w:bottom w:val="single" w:sz="4" w:space="0" w:color="auto"/>
              <w:right w:val="nil"/>
            </w:tcBorders>
            <w:shd w:val="clear" w:color="auto" w:fill="auto"/>
            <w:noWrap/>
            <w:vAlign w:val="center"/>
          </w:tcPr>
          <w:p w14:paraId="7370B608" w14:textId="77777777" w:rsidR="004532A8" w:rsidRPr="004E1328" w:rsidRDefault="004532A8" w:rsidP="00C85417">
            <w:pPr>
              <w:jc w:val="center"/>
              <w:rPr>
                <w:rFonts w:asciiTheme="majorBidi" w:hAnsiTheme="majorBidi" w:cstheme="majorBidi"/>
                <w:color w:val="000000"/>
                <w:sz w:val="22"/>
                <w:szCs w:val="22"/>
              </w:rPr>
            </w:pPr>
          </w:p>
        </w:tc>
        <w:tc>
          <w:tcPr>
            <w:tcW w:w="497" w:type="pct"/>
            <w:tcBorders>
              <w:top w:val="single" w:sz="4" w:space="0" w:color="auto"/>
              <w:left w:val="nil"/>
              <w:bottom w:val="single" w:sz="4" w:space="0" w:color="auto"/>
              <w:right w:val="nil"/>
            </w:tcBorders>
            <w:shd w:val="clear" w:color="auto" w:fill="auto"/>
            <w:noWrap/>
            <w:vAlign w:val="center"/>
          </w:tcPr>
          <w:p w14:paraId="4604377C" w14:textId="77777777" w:rsidR="004532A8" w:rsidRPr="004E1328" w:rsidRDefault="004532A8" w:rsidP="00C85417">
            <w:pPr>
              <w:jc w:val="center"/>
              <w:rPr>
                <w:rFonts w:asciiTheme="majorBidi" w:hAnsiTheme="majorBidi" w:cstheme="majorBidi"/>
                <w:color w:val="000000"/>
                <w:sz w:val="22"/>
                <w:szCs w:val="22"/>
              </w:rPr>
            </w:pPr>
          </w:p>
        </w:tc>
        <w:tc>
          <w:tcPr>
            <w:tcW w:w="682" w:type="pct"/>
            <w:tcBorders>
              <w:top w:val="single" w:sz="4" w:space="0" w:color="auto"/>
              <w:left w:val="nil"/>
              <w:bottom w:val="single" w:sz="4" w:space="0" w:color="auto"/>
              <w:right w:val="nil"/>
            </w:tcBorders>
            <w:shd w:val="clear" w:color="auto" w:fill="auto"/>
            <w:noWrap/>
            <w:vAlign w:val="center"/>
          </w:tcPr>
          <w:p w14:paraId="2AD15D26" w14:textId="77777777" w:rsidR="004532A8" w:rsidRPr="004E1328" w:rsidRDefault="004532A8" w:rsidP="00C85417">
            <w:pPr>
              <w:jc w:val="center"/>
              <w:rPr>
                <w:rFonts w:asciiTheme="majorBidi" w:hAnsiTheme="majorBidi" w:cstheme="majorBidi"/>
                <w:color w:val="000000"/>
                <w:sz w:val="22"/>
                <w:szCs w:val="22"/>
              </w:rPr>
            </w:pPr>
          </w:p>
        </w:tc>
      </w:tr>
      <w:tr w:rsidR="00DB4815" w:rsidRPr="004E1328" w14:paraId="2D1F84F3" w14:textId="77777777" w:rsidTr="00C85417">
        <w:trPr>
          <w:trHeight w:val="300"/>
        </w:trPr>
        <w:tc>
          <w:tcPr>
            <w:tcW w:w="2674" w:type="pct"/>
            <w:gridSpan w:val="2"/>
            <w:tcBorders>
              <w:top w:val="single" w:sz="4" w:space="0" w:color="auto"/>
              <w:left w:val="nil"/>
              <w:bottom w:val="nil"/>
              <w:right w:val="nil"/>
            </w:tcBorders>
            <w:shd w:val="clear" w:color="auto" w:fill="auto"/>
            <w:noWrap/>
            <w:vAlign w:val="center"/>
          </w:tcPr>
          <w:p w14:paraId="77398B7C" w14:textId="77777777" w:rsidR="00DB4815" w:rsidRDefault="00DB4815" w:rsidP="00C85417">
            <w:pPr>
              <w:rPr>
                <w:rFonts w:asciiTheme="majorBidi" w:hAnsiTheme="majorBidi" w:cstheme="majorBidi"/>
                <w:i/>
                <w:iCs/>
                <w:color w:val="000000"/>
                <w:sz w:val="22"/>
                <w:szCs w:val="22"/>
              </w:rPr>
            </w:pPr>
          </w:p>
          <w:p w14:paraId="726F2D83" w14:textId="77777777" w:rsidR="00DB4815" w:rsidRDefault="00DB4815" w:rsidP="00C85417">
            <w:pPr>
              <w:rPr>
                <w:rFonts w:asciiTheme="majorBidi" w:hAnsiTheme="majorBidi" w:cstheme="majorBidi"/>
                <w:i/>
                <w:iCs/>
                <w:color w:val="000000"/>
                <w:sz w:val="22"/>
                <w:szCs w:val="22"/>
              </w:rPr>
            </w:pPr>
          </w:p>
          <w:p w14:paraId="750A6C5A" w14:textId="7E5CE43F" w:rsidR="00DB4815" w:rsidRDefault="00DB4815" w:rsidP="00C85417">
            <w:pPr>
              <w:rPr>
                <w:rFonts w:asciiTheme="majorBidi" w:hAnsiTheme="majorBidi" w:cstheme="majorBidi"/>
                <w:color w:val="000000"/>
                <w:sz w:val="22"/>
                <w:szCs w:val="22"/>
              </w:rPr>
            </w:pPr>
          </w:p>
          <w:p w14:paraId="0DCD998C" w14:textId="77777777" w:rsidR="00DB4815" w:rsidRDefault="00DB4815" w:rsidP="00C85417">
            <w:pPr>
              <w:rPr>
                <w:rFonts w:asciiTheme="majorBidi" w:hAnsiTheme="majorBidi" w:cstheme="majorBidi"/>
                <w:color w:val="000000"/>
                <w:sz w:val="22"/>
                <w:szCs w:val="22"/>
              </w:rPr>
            </w:pPr>
          </w:p>
          <w:p w14:paraId="28D554D7" w14:textId="2BEBBD65" w:rsidR="00DB4815" w:rsidRPr="00DB4815" w:rsidRDefault="00DB4815" w:rsidP="00C85417">
            <w:pPr>
              <w:rPr>
                <w:rFonts w:asciiTheme="majorBidi" w:hAnsiTheme="majorBidi" w:cstheme="majorBidi"/>
                <w:color w:val="000000"/>
                <w:sz w:val="22"/>
                <w:szCs w:val="22"/>
              </w:rPr>
            </w:pPr>
          </w:p>
        </w:tc>
        <w:tc>
          <w:tcPr>
            <w:tcW w:w="487" w:type="pct"/>
            <w:tcBorders>
              <w:top w:val="single" w:sz="4" w:space="0" w:color="auto"/>
              <w:left w:val="nil"/>
              <w:bottom w:val="nil"/>
              <w:right w:val="nil"/>
            </w:tcBorders>
            <w:shd w:val="clear" w:color="auto" w:fill="auto"/>
            <w:noWrap/>
            <w:vAlign w:val="center"/>
          </w:tcPr>
          <w:p w14:paraId="1B249546" w14:textId="77777777" w:rsidR="00DB4815" w:rsidRPr="004E1328" w:rsidRDefault="00DB4815" w:rsidP="00C85417">
            <w:pPr>
              <w:jc w:val="center"/>
              <w:rPr>
                <w:rFonts w:asciiTheme="majorBidi" w:hAnsiTheme="majorBidi" w:cstheme="majorBidi"/>
                <w:color w:val="000000"/>
                <w:sz w:val="22"/>
                <w:szCs w:val="22"/>
              </w:rPr>
            </w:pPr>
          </w:p>
        </w:tc>
        <w:tc>
          <w:tcPr>
            <w:tcW w:w="660" w:type="pct"/>
            <w:tcBorders>
              <w:top w:val="single" w:sz="4" w:space="0" w:color="auto"/>
              <w:left w:val="nil"/>
              <w:bottom w:val="nil"/>
              <w:right w:val="nil"/>
            </w:tcBorders>
            <w:shd w:val="clear" w:color="auto" w:fill="auto"/>
            <w:noWrap/>
            <w:vAlign w:val="center"/>
          </w:tcPr>
          <w:p w14:paraId="657F57BF" w14:textId="77777777" w:rsidR="00DB4815" w:rsidRPr="004E1328" w:rsidRDefault="00DB4815" w:rsidP="00C85417">
            <w:pPr>
              <w:jc w:val="center"/>
              <w:rPr>
                <w:rFonts w:asciiTheme="majorBidi" w:hAnsiTheme="majorBidi" w:cstheme="majorBidi"/>
                <w:color w:val="000000"/>
                <w:sz w:val="22"/>
                <w:szCs w:val="22"/>
              </w:rPr>
            </w:pPr>
          </w:p>
        </w:tc>
        <w:tc>
          <w:tcPr>
            <w:tcW w:w="497" w:type="pct"/>
            <w:tcBorders>
              <w:top w:val="single" w:sz="4" w:space="0" w:color="auto"/>
              <w:left w:val="nil"/>
              <w:bottom w:val="nil"/>
              <w:right w:val="nil"/>
            </w:tcBorders>
            <w:shd w:val="clear" w:color="auto" w:fill="auto"/>
            <w:noWrap/>
            <w:vAlign w:val="center"/>
          </w:tcPr>
          <w:p w14:paraId="615638DD" w14:textId="77777777" w:rsidR="00DB4815" w:rsidRPr="004E1328" w:rsidRDefault="00DB4815" w:rsidP="00C85417">
            <w:pPr>
              <w:jc w:val="center"/>
              <w:rPr>
                <w:rFonts w:asciiTheme="majorBidi" w:hAnsiTheme="majorBidi" w:cstheme="majorBidi"/>
                <w:color w:val="000000"/>
                <w:sz w:val="22"/>
                <w:szCs w:val="22"/>
              </w:rPr>
            </w:pPr>
          </w:p>
        </w:tc>
        <w:tc>
          <w:tcPr>
            <w:tcW w:w="682" w:type="pct"/>
            <w:tcBorders>
              <w:top w:val="single" w:sz="4" w:space="0" w:color="auto"/>
              <w:left w:val="nil"/>
              <w:bottom w:val="nil"/>
              <w:right w:val="nil"/>
            </w:tcBorders>
            <w:shd w:val="clear" w:color="auto" w:fill="auto"/>
            <w:noWrap/>
            <w:vAlign w:val="center"/>
          </w:tcPr>
          <w:p w14:paraId="43D06780" w14:textId="77777777" w:rsidR="00DB4815" w:rsidRPr="004E1328" w:rsidRDefault="00DB4815" w:rsidP="00C85417">
            <w:pPr>
              <w:jc w:val="center"/>
              <w:rPr>
                <w:rFonts w:asciiTheme="majorBidi" w:hAnsiTheme="majorBidi" w:cstheme="majorBidi"/>
                <w:color w:val="000000"/>
                <w:sz w:val="22"/>
                <w:szCs w:val="22"/>
              </w:rPr>
            </w:pPr>
          </w:p>
        </w:tc>
      </w:tr>
    </w:tbl>
    <w:p w14:paraId="74B6DF0A" w14:textId="77777777" w:rsidR="004532A8" w:rsidRDefault="004532A8" w:rsidP="004532A8">
      <w:pPr>
        <w:spacing w:line="480" w:lineRule="auto"/>
        <w:ind w:firstLine="720"/>
        <w:rPr>
          <w:rFonts w:ascii="Times New Roman" w:hAnsi="Times New Roman"/>
          <w:iCs/>
        </w:rPr>
        <w:sectPr w:rsidR="004532A8" w:rsidSect="004532A8">
          <w:pgSz w:w="15840" w:h="12240" w:orient="landscape"/>
          <w:pgMar w:top="1797" w:right="1440" w:bottom="1797" w:left="1440" w:header="720" w:footer="720" w:gutter="0"/>
          <w:cols w:space="720"/>
          <w:docGrid w:linePitch="360"/>
        </w:sectPr>
      </w:pPr>
    </w:p>
    <w:p w14:paraId="07B274B0" w14:textId="7E06EB9A" w:rsidR="007F39CB" w:rsidRPr="009B7B5D" w:rsidRDefault="00063943" w:rsidP="007F39CB">
      <w:pPr>
        <w:spacing w:line="480" w:lineRule="auto"/>
        <w:rPr>
          <w:rFonts w:asciiTheme="majorBidi" w:hAnsiTheme="majorBidi" w:cstheme="majorBidi"/>
          <w:i/>
          <w:iCs/>
        </w:rPr>
      </w:pPr>
      <w:r>
        <w:rPr>
          <w:rFonts w:asciiTheme="majorBidi" w:hAnsiTheme="majorBidi" w:cstheme="majorBidi"/>
          <w:i/>
          <w:iCs/>
        </w:rPr>
        <w:lastRenderedPageBreak/>
        <w:t xml:space="preserve">Study 1: </w:t>
      </w:r>
      <w:r w:rsidR="009B7B5D" w:rsidRPr="009B7B5D">
        <w:rPr>
          <w:rFonts w:asciiTheme="majorBidi" w:hAnsiTheme="majorBidi" w:cstheme="majorBidi"/>
          <w:i/>
          <w:iCs/>
        </w:rPr>
        <w:t>Discussion</w:t>
      </w:r>
    </w:p>
    <w:p w14:paraId="0C3F332E" w14:textId="27E41001" w:rsidR="009B7B5D" w:rsidRDefault="009B7B5D" w:rsidP="007F39CB">
      <w:pPr>
        <w:spacing w:line="480" w:lineRule="auto"/>
        <w:rPr>
          <w:rFonts w:asciiTheme="majorBidi" w:hAnsiTheme="majorBidi" w:cstheme="majorBidi"/>
        </w:rPr>
      </w:pPr>
      <w:r>
        <w:rPr>
          <w:rFonts w:asciiTheme="majorBidi" w:hAnsiTheme="majorBidi" w:cstheme="majorBidi"/>
        </w:rPr>
        <w:tab/>
        <w:t xml:space="preserve">Study 1 </w:t>
      </w:r>
      <w:r w:rsidR="00781086">
        <w:rPr>
          <w:rFonts w:asciiTheme="majorBidi" w:hAnsiTheme="majorBidi" w:cstheme="majorBidi"/>
        </w:rPr>
        <w:t>demonstrates</w:t>
      </w:r>
      <w:r>
        <w:rPr>
          <w:rFonts w:asciiTheme="majorBidi" w:hAnsiTheme="majorBidi" w:cstheme="majorBidi"/>
        </w:rPr>
        <w:t xml:space="preserve"> the main effect of precommitment: participants make safer choices</w:t>
      </w:r>
      <w:r w:rsidR="00065948">
        <w:rPr>
          <w:rFonts w:asciiTheme="majorBidi" w:hAnsiTheme="majorBidi" w:cstheme="majorBidi"/>
        </w:rPr>
        <w:t xml:space="preserve"> (supporting H1). </w:t>
      </w:r>
      <w:r w:rsidR="00C25325">
        <w:rPr>
          <w:rFonts w:asciiTheme="majorBidi" w:hAnsiTheme="majorBidi" w:cstheme="majorBidi"/>
        </w:rPr>
        <w:t xml:space="preserve">Study 1 also explored the process underlying this effect, with a think-aloud protocol. </w:t>
      </w:r>
      <w:r w:rsidR="0081067C">
        <w:rPr>
          <w:rFonts w:asciiTheme="majorBidi" w:hAnsiTheme="majorBidi" w:cstheme="majorBidi"/>
        </w:rPr>
        <w:t>Participants who precommitted were more likely to make a safe (or mixed) plan, and were more focused on outcomes, both of which correlated with choices and mediated the results (supporting H2). However, these thought-coding results were quite exploratory and subject to family-wise error and researcher biases. Therefore, we follow up this open-ended process study with a more</w:t>
      </w:r>
      <w:r w:rsidR="00F6104A">
        <w:rPr>
          <w:rFonts w:asciiTheme="majorBidi" w:hAnsiTheme="majorBidi" w:cstheme="majorBidi"/>
        </w:rPr>
        <w:t xml:space="preserve"> controlled</w:t>
      </w:r>
      <w:r w:rsidR="0081067C">
        <w:rPr>
          <w:rFonts w:asciiTheme="majorBidi" w:hAnsiTheme="majorBidi" w:cstheme="majorBidi"/>
        </w:rPr>
        <w:t>, pre-registered process study in Study 5</w:t>
      </w:r>
      <w:r w:rsidR="00514CEC">
        <w:rPr>
          <w:rFonts w:asciiTheme="majorBidi" w:hAnsiTheme="majorBidi" w:cstheme="majorBidi"/>
        </w:rPr>
        <w:t xml:space="preserve">, as well as experimental tests of process, such as </w:t>
      </w:r>
      <w:r w:rsidR="0042304C">
        <w:rPr>
          <w:rFonts w:asciiTheme="majorBidi" w:hAnsiTheme="majorBidi" w:cstheme="majorBidi"/>
        </w:rPr>
        <w:t xml:space="preserve">supplemental </w:t>
      </w:r>
      <w:r w:rsidR="00514CEC">
        <w:rPr>
          <w:rFonts w:asciiTheme="majorBidi" w:hAnsiTheme="majorBidi" w:cstheme="majorBidi"/>
        </w:rPr>
        <w:t>Study S</w:t>
      </w:r>
      <w:r w:rsidR="0042304C">
        <w:rPr>
          <w:rFonts w:asciiTheme="majorBidi" w:hAnsiTheme="majorBidi" w:cstheme="majorBidi"/>
        </w:rPr>
        <w:t xml:space="preserve">3 which manipulates planning and outcome focus directly through an explicit prompt. </w:t>
      </w:r>
    </w:p>
    <w:p w14:paraId="3BA019DF" w14:textId="51F57122" w:rsidR="00F03223" w:rsidRDefault="00F03223" w:rsidP="007F39CB">
      <w:pPr>
        <w:spacing w:line="480" w:lineRule="auto"/>
        <w:rPr>
          <w:rFonts w:asciiTheme="majorBidi" w:hAnsiTheme="majorBidi" w:cstheme="majorBidi"/>
        </w:rPr>
      </w:pPr>
      <w:r>
        <w:rPr>
          <w:rFonts w:asciiTheme="majorBidi" w:hAnsiTheme="majorBidi" w:cstheme="majorBidi"/>
        </w:rPr>
        <w:tab/>
      </w:r>
      <w:r w:rsidR="0045780A">
        <w:rPr>
          <w:rFonts w:asciiTheme="majorBidi" w:hAnsiTheme="majorBidi" w:cstheme="majorBidi"/>
        </w:rPr>
        <w:t xml:space="preserve">Study 1 also casts a bit of doubt on subjective “broad bracketing of probability” as an explanation of the precommitment effect (H3), as no results were found to support it. </w:t>
      </w:r>
      <w:r w:rsidR="00A47C78">
        <w:rPr>
          <w:rFonts w:asciiTheme="majorBidi" w:hAnsiTheme="majorBidi" w:cstheme="majorBidi"/>
        </w:rPr>
        <w:t xml:space="preserve">Likewise, in other studies, we asked </w:t>
      </w:r>
      <w:r w:rsidR="00440878">
        <w:rPr>
          <w:rFonts w:asciiTheme="majorBidi" w:hAnsiTheme="majorBidi" w:cstheme="majorBidi"/>
        </w:rPr>
        <w:t>several</w:t>
      </w:r>
      <w:r w:rsidR="00A47C78">
        <w:rPr>
          <w:rFonts w:asciiTheme="majorBidi" w:hAnsiTheme="majorBidi" w:cstheme="majorBidi"/>
        </w:rPr>
        <w:t xml:space="preserve"> self-report measures of probability (e.g., “How likely is it that the big loss will occur at least once”?), and never found significant results. </w:t>
      </w:r>
      <w:r w:rsidR="0045780A">
        <w:rPr>
          <w:rFonts w:asciiTheme="majorBidi" w:hAnsiTheme="majorBidi" w:cstheme="majorBidi"/>
        </w:rPr>
        <w:t>However, null results are difficult to interpret. Therefore, we designed Stud</w:t>
      </w:r>
      <w:r w:rsidR="00656147">
        <w:rPr>
          <w:rFonts w:asciiTheme="majorBidi" w:hAnsiTheme="majorBidi" w:cstheme="majorBidi"/>
        </w:rPr>
        <w:t>ies</w:t>
      </w:r>
      <w:r w:rsidR="0045780A">
        <w:rPr>
          <w:rFonts w:asciiTheme="majorBidi" w:hAnsiTheme="majorBidi" w:cstheme="majorBidi"/>
        </w:rPr>
        <w:t xml:space="preserve"> 2 </w:t>
      </w:r>
      <w:r w:rsidR="00656147">
        <w:rPr>
          <w:rFonts w:asciiTheme="majorBidi" w:hAnsiTheme="majorBidi" w:cstheme="majorBidi"/>
        </w:rPr>
        <w:t xml:space="preserve">and 3 </w:t>
      </w:r>
      <w:r w:rsidR="0045780A">
        <w:rPr>
          <w:rFonts w:asciiTheme="majorBidi" w:hAnsiTheme="majorBidi" w:cstheme="majorBidi"/>
        </w:rPr>
        <w:t>as direct</w:t>
      </w:r>
      <w:r w:rsidR="00656147">
        <w:rPr>
          <w:rFonts w:asciiTheme="majorBidi" w:hAnsiTheme="majorBidi" w:cstheme="majorBidi"/>
        </w:rPr>
        <w:t>, experimental</w:t>
      </w:r>
      <w:r w:rsidR="0045780A">
        <w:rPr>
          <w:rFonts w:asciiTheme="majorBidi" w:hAnsiTheme="majorBidi" w:cstheme="majorBidi"/>
        </w:rPr>
        <w:t xml:space="preserve"> test</w:t>
      </w:r>
      <w:r w:rsidR="00D43F4F">
        <w:rPr>
          <w:rFonts w:asciiTheme="majorBidi" w:hAnsiTheme="majorBidi" w:cstheme="majorBidi"/>
        </w:rPr>
        <w:t>s</w:t>
      </w:r>
      <w:r w:rsidR="0045780A">
        <w:rPr>
          <w:rFonts w:asciiTheme="majorBidi" w:hAnsiTheme="majorBidi" w:cstheme="majorBidi"/>
        </w:rPr>
        <w:t xml:space="preserve"> of H3. </w:t>
      </w:r>
    </w:p>
    <w:p w14:paraId="64832901" w14:textId="77777777" w:rsidR="009B7B5D" w:rsidRDefault="009B7B5D" w:rsidP="003C2ABB">
      <w:pPr>
        <w:jc w:val="center"/>
        <w:rPr>
          <w:rFonts w:asciiTheme="majorBidi" w:hAnsiTheme="majorBidi" w:cstheme="majorBidi"/>
          <w:i/>
          <w:iCs/>
        </w:rPr>
      </w:pPr>
    </w:p>
    <w:p w14:paraId="0469F574" w14:textId="50944E0D" w:rsidR="003C2ABB" w:rsidRDefault="003C2ABB" w:rsidP="003C2ABB">
      <w:pPr>
        <w:jc w:val="center"/>
        <w:rPr>
          <w:rFonts w:asciiTheme="majorBidi" w:hAnsiTheme="majorBidi" w:cstheme="majorBidi"/>
          <w:i/>
          <w:iCs/>
        </w:rPr>
      </w:pPr>
      <w:r w:rsidRPr="00434349">
        <w:rPr>
          <w:rFonts w:asciiTheme="majorBidi" w:hAnsiTheme="majorBidi" w:cstheme="majorBidi"/>
          <w:i/>
          <w:iCs/>
        </w:rPr>
        <w:t xml:space="preserve">Study </w:t>
      </w:r>
      <w:r>
        <w:rPr>
          <w:rFonts w:asciiTheme="majorBidi" w:hAnsiTheme="majorBidi" w:cstheme="majorBidi"/>
          <w:i/>
          <w:iCs/>
        </w:rPr>
        <w:t>2</w:t>
      </w:r>
      <w:r w:rsidRPr="00434349">
        <w:rPr>
          <w:rFonts w:asciiTheme="majorBidi" w:hAnsiTheme="majorBidi" w:cstheme="majorBidi"/>
          <w:i/>
          <w:iCs/>
        </w:rPr>
        <w:t xml:space="preserve">: </w:t>
      </w:r>
      <w:r>
        <w:rPr>
          <w:rFonts w:asciiTheme="majorBidi" w:hAnsiTheme="majorBidi" w:cstheme="majorBidi"/>
          <w:i/>
          <w:iCs/>
        </w:rPr>
        <w:t>Probability education</w:t>
      </w:r>
    </w:p>
    <w:p w14:paraId="6FFA211B" w14:textId="77777777" w:rsidR="003C2ABB" w:rsidRPr="00434349" w:rsidRDefault="003C2ABB" w:rsidP="003C2ABB">
      <w:pPr>
        <w:rPr>
          <w:rFonts w:asciiTheme="majorBidi" w:hAnsiTheme="majorBidi" w:cstheme="majorBidi"/>
          <w:i/>
          <w:iCs/>
        </w:rPr>
      </w:pPr>
    </w:p>
    <w:p w14:paraId="69D4EAF6" w14:textId="4EE6D658" w:rsidR="003C2ABB" w:rsidRDefault="003C2ABB" w:rsidP="00A24106">
      <w:pPr>
        <w:spacing w:line="480" w:lineRule="auto"/>
        <w:rPr>
          <w:rFonts w:asciiTheme="majorBidi" w:hAnsiTheme="majorBidi" w:cstheme="majorBidi"/>
        </w:rPr>
      </w:pPr>
      <w:r>
        <w:rPr>
          <w:rFonts w:asciiTheme="majorBidi" w:hAnsiTheme="majorBidi" w:cstheme="majorBidi"/>
        </w:rPr>
        <w:tab/>
        <w:t>The goal of study 2 is to examine the effect of probability education</w:t>
      </w:r>
      <w:r w:rsidR="00BF093C">
        <w:rPr>
          <w:rFonts w:asciiTheme="majorBidi" w:hAnsiTheme="majorBidi" w:cstheme="majorBidi"/>
        </w:rPr>
        <w:t xml:space="preserve"> (i.e., explicit broad bracketing of probabilities)</w:t>
      </w:r>
      <w:r>
        <w:rPr>
          <w:rFonts w:asciiTheme="majorBidi" w:hAnsiTheme="majorBidi" w:cstheme="majorBidi"/>
        </w:rPr>
        <w:t xml:space="preserve"> on </w:t>
      </w:r>
      <w:r w:rsidR="00BF093C">
        <w:rPr>
          <w:rFonts w:asciiTheme="majorBidi" w:hAnsiTheme="majorBidi" w:cstheme="majorBidi"/>
        </w:rPr>
        <w:t xml:space="preserve">the </w:t>
      </w:r>
      <w:r>
        <w:rPr>
          <w:rFonts w:asciiTheme="majorBidi" w:hAnsiTheme="majorBidi" w:cstheme="majorBidi"/>
        </w:rPr>
        <w:t>precommitment effect</w:t>
      </w:r>
      <w:r w:rsidR="00A24106">
        <w:rPr>
          <w:rFonts w:asciiTheme="majorBidi" w:hAnsiTheme="majorBidi" w:cstheme="majorBidi"/>
        </w:rPr>
        <w:t>, testing H3</w:t>
      </w:r>
      <w:r>
        <w:rPr>
          <w:rFonts w:asciiTheme="majorBidi" w:hAnsiTheme="majorBidi" w:cstheme="majorBidi"/>
        </w:rPr>
        <w:t xml:space="preserve">. </w:t>
      </w:r>
      <w:r w:rsidR="00A24106">
        <w:rPr>
          <w:rFonts w:asciiTheme="majorBidi" w:hAnsiTheme="majorBidi" w:cstheme="majorBidi"/>
        </w:rPr>
        <w:t xml:space="preserve">If precommitment works by subjective broad bracketing of probability, then explicitly presenting the cumulative probability should have the same effect, and should wipe out the effect of precommitment. On the other hand, if precommitment does not work via </w:t>
      </w:r>
      <w:r w:rsidR="00A24106">
        <w:rPr>
          <w:rFonts w:asciiTheme="majorBidi" w:hAnsiTheme="majorBidi" w:cstheme="majorBidi"/>
        </w:rPr>
        <w:lastRenderedPageBreak/>
        <w:t xml:space="preserve">subjective broad bracketing of probability, then explicitly presenting the cumulative probability should have no effect. </w:t>
      </w:r>
    </w:p>
    <w:p w14:paraId="2846DDC6" w14:textId="5CF4C62B" w:rsidR="003C2ABB" w:rsidRPr="00434349" w:rsidRDefault="003C2ABB" w:rsidP="003C2ABB">
      <w:pPr>
        <w:spacing w:line="480" w:lineRule="auto"/>
        <w:rPr>
          <w:rFonts w:asciiTheme="majorBidi" w:hAnsiTheme="majorBidi" w:cstheme="majorBidi"/>
          <w:i/>
          <w:iCs/>
        </w:rPr>
      </w:pPr>
      <w:r w:rsidRPr="00434349">
        <w:rPr>
          <w:rFonts w:asciiTheme="majorBidi" w:hAnsiTheme="majorBidi" w:cstheme="majorBidi"/>
          <w:i/>
          <w:iCs/>
        </w:rPr>
        <w:t>Study</w:t>
      </w:r>
      <w:r>
        <w:rPr>
          <w:rFonts w:asciiTheme="majorBidi" w:hAnsiTheme="majorBidi" w:cstheme="majorBidi"/>
          <w:i/>
          <w:iCs/>
        </w:rPr>
        <w:t xml:space="preserve"> 2</w:t>
      </w:r>
      <w:r w:rsidRPr="00434349">
        <w:rPr>
          <w:rFonts w:asciiTheme="majorBidi" w:hAnsiTheme="majorBidi" w:cstheme="majorBidi"/>
          <w:i/>
          <w:iCs/>
        </w:rPr>
        <w:t xml:space="preserve">: </w:t>
      </w:r>
      <w:r>
        <w:rPr>
          <w:rFonts w:asciiTheme="majorBidi" w:hAnsiTheme="majorBidi" w:cstheme="majorBidi"/>
          <w:i/>
          <w:iCs/>
        </w:rPr>
        <w:t>Methods</w:t>
      </w:r>
    </w:p>
    <w:p w14:paraId="41B6B8D1" w14:textId="1E7F1155" w:rsidR="003C2ABB" w:rsidRPr="006850FF" w:rsidRDefault="003C2ABB" w:rsidP="003C2ABB">
      <w:pPr>
        <w:spacing w:line="480" w:lineRule="auto"/>
        <w:rPr>
          <w:rFonts w:asciiTheme="majorBidi" w:hAnsiTheme="majorBidi" w:cstheme="majorBidi"/>
        </w:rPr>
      </w:pPr>
      <w:r>
        <w:rPr>
          <w:rFonts w:asciiTheme="majorBidi" w:hAnsiTheme="majorBidi" w:cstheme="majorBidi"/>
        </w:rPr>
        <w:tab/>
        <w:t>280</w:t>
      </w:r>
      <w:r w:rsidRPr="00434349">
        <w:rPr>
          <w:rFonts w:asciiTheme="majorBidi" w:hAnsiTheme="majorBidi" w:cstheme="majorBidi"/>
        </w:rPr>
        <w:t xml:space="preserve"> participants (</w:t>
      </w:r>
      <w:r>
        <w:rPr>
          <w:rFonts w:asciiTheme="majorBidi" w:hAnsiTheme="majorBidi" w:cstheme="majorBidi"/>
        </w:rPr>
        <w:t>55</w:t>
      </w:r>
      <w:r w:rsidRPr="00434349">
        <w:rPr>
          <w:rFonts w:asciiTheme="majorBidi" w:hAnsiTheme="majorBidi" w:cstheme="majorBidi"/>
        </w:rPr>
        <w:t>% female</w:t>
      </w:r>
      <w:r w:rsidR="0092747F">
        <w:rPr>
          <w:rFonts w:asciiTheme="majorBidi" w:hAnsiTheme="majorBidi" w:cstheme="majorBidi"/>
        </w:rPr>
        <w:t>, M</w:t>
      </w:r>
      <w:r w:rsidR="0092747F" w:rsidRPr="0092747F">
        <w:rPr>
          <w:rFonts w:asciiTheme="majorBidi" w:hAnsiTheme="majorBidi" w:cstheme="majorBidi"/>
          <w:vertAlign w:val="subscript"/>
        </w:rPr>
        <w:t>age</w:t>
      </w:r>
      <w:r w:rsidR="0092747F">
        <w:rPr>
          <w:rFonts w:asciiTheme="majorBidi" w:hAnsiTheme="majorBidi" w:cstheme="majorBidi"/>
        </w:rPr>
        <w:t xml:space="preserve"> = 35.2</w:t>
      </w:r>
      <w:r w:rsidRPr="00434349">
        <w:rPr>
          <w:rFonts w:asciiTheme="majorBidi" w:hAnsiTheme="majorBidi" w:cstheme="majorBidi"/>
        </w:rPr>
        <w:t>) were recruited from</w:t>
      </w:r>
      <w:r>
        <w:rPr>
          <w:rFonts w:asciiTheme="majorBidi" w:hAnsiTheme="majorBidi" w:cstheme="majorBidi"/>
        </w:rPr>
        <w:t xml:space="preserve"> Prolific Academic in exchange for a fixed monetary compensation</w:t>
      </w:r>
      <w:r w:rsidRPr="00434349">
        <w:rPr>
          <w:rFonts w:asciiTheme="majorBidi" w:hAnsiTheme="majorBidi" w:cstheme="majorBidi"/>
        </w:rPr>
        <w:t xml:space="preserve">. Participants played the same game </w:t>
      </w:r>
      <w:r>
        <w:rPr>
          <w:rFonts w:asciiTheme="majorBidi" w:hAnsiTheme="majorBidi" w:cstheme="majorBidi"/>
        </w:rPr>
        <w:t xml:space="preserve">as </w:t>
      </w:r>
      <w:r w:rsidR="00607538">
        <w:rPr>
          <w:rFonts w:asciiTheme="majorBidi" w:hAnsiTheme="majorBidi" w:cstheme="majorBidi"/>
        </w:rPr>
        <w:t>Study 1 i</w:t>
      </w:r>
      <w:r w:rsidRPr="00434349">
        <w:rPr>
          <w:rFonts w:asciiTheme="majorBidi" w:hAnsiTheme="majorBidi" w:cstheme="majorBidi"/>
        </w:rPr>
        <w:t>n a 2 (choice structure: precommi</w:t>
      </w:r>
      <w:r w:rsidR="00B27353">
        <w:rPr>
          <w:rFonts w:asciiTheme="majorBidi" w:hAnsiTheme="majorBidi" w:cstheme="majorBidi"/>
        </w:rPr>
        <w:t>t</w:t>
      </w:r>
      <w:r w:rsidRPr="00434349">
        <w:rPr>
          <w:rFonts w:asciiTheme="majorBidi" w:hAnsiTheme="majorBidi" w:cstheme="majorBidi"/>
        </w:rPr>
        <w:t xml:space="preserve">ted </w:t>
      </w:r>
      <w:r w:rsidR="00607538">
        <w:rPr>
          <w:rFonts w:asciiTheme="majorBidi" w:hAnsiTheme="majorBidi" w:cstheme="majorBidi"/>
        </w:rPr>
        <w:t xml:space="preserve">choice </w:t>
      </w:r>
      <w:r w:rsidRPr="00434349">
        <w:rPr>
          <w:rFonts w:asciiTheme="majorBidi" w:hAnsiTheme="majorBidi" w:cstheme="majorBidi"/>
        </w:rPr>
        <w:t>versus repeated</w:t>
      </w:r>
      <w:r w:rsidR="00607538">
        <w:rPr>
          <w:rFonts w:asciiTheme="majorBidi" w:hAnsiTheme="majorBidi" w:cstheme="majorBidi"/>
        </w:rPr>
        <w:t xml:space="preserve"> choice control</w:t>
      </w:r>
      <w:r w:rsidRPr="00434349">
        <w:rPr>
          <w:rFonts w:asciiTheme="majorBidi" w:hAnsiTheme="majorBidi" w:cstheme="majorBidi"/>
        </w:rPr>
        <w:t xml:space="preserve">) by </w:t>
      </w:r>
      <w:r>
        <w:rPr>
          <w:rFonts w:asciiTheme="majorBidi" w:hAnsiTheme="majorBidi" w:cstheme="majorBidi"/>
        </w:rPr>
        <w:t>2</w:t>
      </w:r>
      <w:r w:rsidRPr="00434349">
        <w:rPr>
          <w:rFonts w:asciiTheme="majorBidi" w:hAnsiTheme="majorBidi" w:cstheme="majorBidi"/>
        </w:rPr>
        <w:t xml:space="preserve"> (</w:t>
      </w:r>
      <w:r>
        <w:rPr>
          <w:rFonts w:asciiTheme="majorBidi" w:hAnsiTheme="majorBidi" w:cstheme="majorBidi"/>
        </w:rPr>
        <w:t>Probability education: control versus education</w:t>
      </w:r>
      <w:r w:rsidRPr="00434349">
        <w:rPr>
          <w:rFonts w:asciiTheme="majorBidi" w:hAnsiTheme="majorBidi" w:cstheme="majorBidi"/>
        </w:rPr>
        <w:t xml:space="preserve">) </w:t>
      </w:r>
      <w:r>
        <w:rPr>
          <w:rFonts w:asciiTheme="majorBidi" w:hAnsiTheme="majorBidi" w:cstheme="majorBidi"/>
        </w:rPr>
        <w:t xml:space="preserve">between-subject design. The procedure was identical across the probability education factor with the only difference being an extra sentence educating participants about the probability of the big loss happening at least once over 20 rounds. Specifically, wherever participants read </w:t>
      </w:r>
      <w:r w:rsidR="00B27353">
        <w:rPr>
          <w:rFonts w:asciiTheme="majorBidi" w:hAnsiTheme="majorBidi" w:cstheme="majorBidi"/>
        </w:rPr>
        <w:t xml:space="preserve">in the instructions </w:t>
      </w:r>
      <w:r>
        <w:rPr>
          <w:rFonts w:asciiTheme="majorBidi" w:hAnsiTheme="majorBidi" w:cstheme="majorBidi"/>
        </w:rPr>
        <w:t xml:space="preserve">about the 4% chance of losing 40,000 Rp., they </w:t>
      </w:r>
      <w:r w:rsidR="00607538">
        <w:rPr>
          <w:rFonts w:asciiTheme="majorBidi" w:hAnsiTheme="majorBidi" w:cstheme="majorBidi"/>
        </w:rPr>
        <w:t>also read</w:t>
      </w:r>
      <w:r>
        <w:rPr>
          <w:rFonts w:asciiTheme="majorBidi" w:hAnsiTheme="majorBidi" w:cstheme="majorBidi"/>
        </w:rPr>
        <w:t xml:space="preserve"> </w:t>
      </w:r>
      <w:r w:rsidR="00607538">
        <w:rPr>
          <w:rFonts w:asciiTheme="majorBidi" w:hAnsiTheme="majorBidi" w:cstheme="majorBidi"/>
        </w:rPr>
        <w:t xml:space="preserve">that this translates into </w:t>
      </w:r>
      <w:r>
        <w:rPr>
          <w:rFonts w:asciiTheme="majorBidi" w:hAnsiTheme="majorBidi" w:cstheme="majorBidi"/>
        </w:rPr>
        <w:t>“</w:t>
      </w:r>
      <w:r w:rsidR="00607538">
        <w:rPr>
          <w:rFonts w:asciiTheme="majorBidi" w:hAnsiTheme="majorBidi" w:cstheme="majorBidi"/>
        </w:rPr>
        <w:t xml:space="preserve">a </w:t>
      </w:r>
      <w:r w:rsidRPr="006C28E6">
        <w:rPr>
          <w:rFonts w:asciiTheme="majorBidi" w:hAnsiTheme="majorBidi" w:cstheme="majorBidi"/>
        </w:rPr>
        <w:t>56% probability of losing 40,000 at least once over 20 months</w:t>
      </w:r>
      <w:r>
        <w:rPr>
          <w:rFonts w:asciiTheme="majorBidi" w:hAnsiTheme="majorBidi" w:cstheme="majorBidi"/>
        </w:rPr>
        <w:t>”.</w:t>
      </w:r>
    </w:p>
    <w:p w14:paraId="19DCF322" w14:textId="3B696C7D" w:rsidR="003C2ABB" w:rsidRPr="00434349" w:rsidRDefault="003C2ABB" w:rsidP="003C2ABB">
      <w:pPr>
        <w:spacing w:line="480" w:lineRule="auto"/>
        <w:rPr>
          <w:rFonts w:asciiTheme="majorBidi" w:hAnsiTheme="majorBidi" w:cstheme="majorBidi"/>
          <w:i/>
          <w:iCs/>
        </w:rPr>
      </w:pPr>
      <w:r w:rsidRPr="00434349">
        <w:rPr>
          <w:rFonts w:asciiTheme="majorBidi" w:hAnsiTheme="majorBidi" w:cstheme="majorBidi"/>
          <w:i/>
          <w:iCs/>
        </w:rPr>
        <w:t xml:space="preserve">Study </w:t>
      </w:r>
      <w:r>
        <w:rPr>
          <w:rFonts w:asciiTheme="majorBidi" w:hAnsiTheme="majorBidi" w:cstheme="majorBidi"/>
          <w:i/>
          <w:iCs/>
        </w:rPr>
        <w:t>2</w:t>
      </w:r>
      <w:r w:rsidRPr="00434349">
        <w:rPr>
          <w:rFonts w:asciiTheme="majorBidi" w:hAnsiTheme="majorBidi" w:cstheme="majorBidi"/>
          <w:i/>
          <w:iCs/>
        </w:rPr>
        <w:t>: Results</w:t>
      </w:r>
    </w:p>
    <w:p w14:paraId="4C682496" w14:textId="518410EE" w:rsidR="003C2ABB" w:rsidRDefault="003C2ABB" w:rsidP="00FB32FF">
      <w:pPr>
        <w:spacing w:line="480" w:lineRule="auto"/>
        <w:rPr>
          <w:rFonts w:asciiTheme="majorBidi" w:hAnsiTheme="majorBidi" w:cstheme="majorBidi"/>
        </w:rPr>
      </w:pPr>
      <w:r>
        <w:rPr>
          <w:rFonts w:asciiTheme="majorBidi" w:hAnsiTheme="majorBidi" w:cstheme="majorBidi"/>
        </w:rPr>
        <w:tab/>
      </w:r>
      <w:r w:rsidR="00FB32FF">
        <w:rPr>
          <w:rFonts w:asciiTheme="majorBidi" w:hAnsiTheme="majorBidi" w:cstheme="majorBidi"/>
        </w:rPr>
        <w:t xml:space="preserve">As seen in Figure 2, participants made safer choices more often when they precommitted (supporting H1) and made safer choices more often when they were given the cumulative probability. However, these two effects were independent; the provision of cumulative probability did not influence the size of the precommitment effect (consistent with H3). </w:t>
      </w:r>
      <w:r>
        <w:rPr>
          <w:rFonts w:asciiTheme="majorBidi" w:hAnsiTheme="majorBidi" w:cstheme="majorBidi"/>
        </w:rPr>
        <w:t>A</w:t>
      </w:r>
      <w:r w:rsidRPr="00434349">
        <w:rPr>
          <w:rFonts w:asciiTheme="majorBidi" w:hAnsiTheme="majorBidi" w:cstheme="majorBidi"/>
        </w:rPr>
        <w:t xml:space="preserve"> 2 (choice structure) by </w:t>
      </w:r>
      <w:r>
        <w:rPr>
          <w:rFonts w:asciiTheme="majorBidi" w:hAnsiTheme="majorBidi" w:cstheme="majorBidi"/>
        </w:rPr>
        <w:t xml:space="preserve">2 (probability education) </w:t>
      </w:r>
      <w:r w:rsidRPr="00434349">
        <w:rPr>
          <w:rFonts w:asciiTheme="majorBidi" w:hAnsiTheme="majorBidi" w:cstheme="majorBidi"/>
        </w:rPr>
        <w:t>by</w:t>
      </w:r>
      <w:r>
        <w:rPr>
          <w:rFonts w:asciiTheme="majorBidi" w:hAnsiTheme="majorBidi" w:cstheme="majorBidi"/>
        </w:rPr>
        <w:t xml:space="preserve"> </w:t>
      </w:r>
      <w:r w:rsidRPr="00434349">
        <w:rPr>
          <w:rFonts w:asciiTheme="majorBidi" w:hAnsiTheme="majorBidi" w:cstheme="majorBidi"/>
        </w:rPr>
        <w:t xml:space="preserve">4 repeated (blocks) ANOVA </w:t>
      </w:r>
      <w:r>
        <w:rPr>
          <w:rFonts w:asciiTheme="majorBidi" w:hAnsiTheme="majorBidi" w:cstheme="majorBidi"/>
        </w:rPr>
        <w:t>with investment proportion in each block as the DV found a main effect</w:t>
      </w:r>
      <w:r w:rsidRPr="00434349">
        <w:rPr>
          <w:rFonts w:asciiTheme="majorBidi" w:hAnsiTheme="majorBidi" w:cstheme="majorBidi"/>
        </w:rPr>
        <w:t xml:space="preserve"> of precommitment (</w:t>
      </w:r>
      <w:proofErr w:type="spellStart"/>
      <w:r w:rsidRPr="00413D90">
        <w:rPr>
          <w:rFonts w:asciiTheme="majorBidi" w:hAnsiTheme="majorBidi" w:cstheme="majorBidi"/>
          <w:i/>
        </w:rPr>
        <w:t>M</w:t>
      </w:r>
      <w:r w:rsidRPr="00434349">
        <w:rPr>
          <w:rFonts w:asciiTheme="majorBidi" w:hAnsiTheme="majorBidi" w:cstheme="majorBidi"/>
          <w:vertAlign w:val="subscript"/>
        </w:rPr>
        <w:t>rep</w:t>
      </w:r>
      <w:proofErr w:type="spellEnd"/>
      <w:r w:rsidRPr="00434349">
        <w:rPr>
          <w:rFonts w:asciiTheme="majorBidi" w:hAnsiTheme="majorBidi" w:cstheme="majorBidi"/>
          <w:vertAlign w:val="subscript"/>
        </w:rPr>
        <w:t xml:space="preserve"> </w:t>
      </w:r>
      <w:r w:rsidRPr="00434349">
        <w:rPr>
          <w:rFonts w:asciiTheme="majorBidi" w:hAnsiTheme="majorBidi" w:cstheme="majorBidi"/>
        </w:rPr>
        <w:t>= .</w:t>
      </w:r>
      <w:r>
        <w:rPr>
          <w:rFonts w:asciiTheme="majorBidi" w:hAnsiTheme="majorBidi" w:cstheme="majorBidi"/>
        </w:rPr>
        <w:t xml:space="preserve">35 vs </w:t>
      </w:r>
      <w:proofErr w:type="spellStart"/>
      <w:r w:rsidRPr="00413D90">
        <w:rPr>
          <w:rFonts w:asciiTheme="majorBidi" w:hAnsiTheme="majorBidi" w:cstheme="majorBidi"/>
          <w:i/>
        </w:rPr>
        <w:t>M</w:t>
      </w:r>
      <w:r w:rsidRPr="00434349">
        <w:rPr>
          <w:rFonts w:asciiTheme="majorBidi" w:hAnsiTheme="majorBidi" w:cstheme="majorBidi"/>
          <w:vertAlign w:val="subscript"/>
        </w:rPr>
        <w:t>pre</w:t>
      </w:r>
      <w:proofErr w:type="spellEnd"/>
      <w:r w:rsidRPr="00434349">
        <w:rPr>
          <w:rFonts w:asciiTheme="majorBidi" w:hAnsiTheme="majorBidi" w:cstheme="majorBidi"/>
          <w:vertAlign w:val="subscript"/>
        </w:rPr>
        <w:t xml:space="preserve"> </w:t>
      </w:r>
      <w:r w:rsidRPr="00434349">
        <w:rPr>
          <w:rFonts w:asciiTheme="majorBidi" w:hAnsiTheme="majorBidi" w:cstheme="majorBidi"/>
        </w:rPr>
        <w:t>= .</w:t>
      </w:r>
      <w:r>
        <w:rPr>
          <w:rFonts w:asciiTheme="majorBidi" w:hAnsiTheme="majorBidi" w:cstheme="majorBidi"/>
        </w:rPr>
        <w:t>54</w:t>
      </w:r>
      <w:r w:rsidRPr="00434349">
        <w:rPr>
          <w:rFonts w:asciiTheme="majorBidi" w:hAnsiTheme="majorBidi" w:cstheme="majorBidi"/>
        </w:rPr>
        <w:t>,</w:t>
      </w:r>
      <w:r>
        <w:rPr>
          <w:rFonts w:asciiTheme="majorBidi" w:hAnsiTheme="majorBidi" w:cstheme="majorBidi"/>
        </w:rPr>
        <w:t xml:space="preserve"> </w:t>
      </w:r>
      <w:r w:rsidRPr="006C28E6">
        <w:rPr>
          <w:rFonts w:asciiTheme="majorBidi" w:hAnsiTheme="majorBidi" w:cstheme="majorBidi"/>
          <w:i/>
          <w:iCs/>
        </w:rPr>
        <w:t>F</w:t>
      </w:r>
      <w:r>
        <w:rPr>
          <w:rFonts w:asciiTheme="majorBidi" w:hAnsiTheme="majorBidi" w:cstheme="majorBidi"/>
        </w:rPr>
        <w:t xml:space="preserve">(1,276) = 29.62, </w:t>
      </w:r>
      <w:r w:rsidRPr="00434349">
        <w:rPr>
          <w:rFonts w:asciiTheme="majorBidi" w:hAnsiTheme="majorBidi" w:cstheme="majorBidi"/>
        </w:rPr>
        <w:t xml:space="preserve"> </w:t>
      </w:r>
      <w:r w:rsidRPr="00413D90">
        <w:rPr>
          <w:rFonts w:asciiTheme="majorBidi" w:hAnsiTheme="majorBidi" w:cstheme="majorBidi"/>
          <w:i/>
        </w:rPr>
        <w:t>p</w:t>
      </w:r>
      <w:r w:rsidRPr="00434349">
        <w:rPr>
          <w:rFonts w:asciiTheme="majorBidi" w:hAnsiTheme="majorBidi" w:cstheme="majorBidi"/>
        </w:rPr>
        <w:t xml:space="preserve"> </w:t>
      </w:r>
      <w:r>
        <w:rPr>
          <w:rFonts w:asciiTheme="majorBidi" w:hAnsiTheme="majorBidi" w:cstheme="majorBidi"/>
        </w:rPr>
        <w:t>&lt;</w:t>
      </w:r>
      <w:r w:rsidRPr="00434349">
        <w:rPr>
          <w:rFonts w:asciiTheme="majorBidi" w:hAnsiTheme="majorBidi" w:cstheme="majorBidi"/>
        </w:rPr>
        <w:t xml:space="preserve"> .</w:t>
      </w:r>
      <w:r>
        <w:rPr>
          <w:rFonts w:asciiTheme="majorBidi" w:hAnsiTheme="majorBidi" w:cstheme="majorBidi"/>
        </w:rPr>
        <w:t>001</w:t>
      </w:r>
      <w:r w:rsidRPr="00434349">
        <w:rPr>
          <w:rFonts w:asciiTheme="majorBidi" w:hAnsiTheme="majorBidi" w:cstheme="majorBidi"/>
        </w:rPr>
        <w:t>)</w:t>
      </w:r>
      <w:r>
        <w:rPr>
          <w:rFonts w:asciiTheme="majorBidi" w:hAnsiTheme="majorBidi" w:cstheme="majorBidi"/>
        </w:rPr>
        <w:t>, and a marginally significant effect of probability education (</w:t>
      </w:r>
      <w:proofErr w:type="spellStart"/>
      <w:r w:rsidRPr="00ED662A">
        <w:rPr>
          <w:rFonts w:asciiTheme="majorBidi" w:hAnsiTheme="majorBidi" w:cstheme="majorBidi"/>
          <w:i/>
          <w:iCs/>
        </w:rPr>
        <w:t>M</w:t>
      </w:r>
      <w:r>
        <w:rPr>
          <w:rFonts w:asciiTheme="majorBidi" w:hAnsiTheme="majorBidi" w:cstheme="majorBidi"/>
          <w:i/>
          <w:iCs/>
          <w:vertAlign w:val="subscript"/>
        </w:rPr>
        <w:t>control</w:t>
      </w:r>
      <w:proofErr w:type="spellEnd"/>
      <w:r>
        <w:rPr>
          <w:rFonts w:asciiTheme="majorBidi" w:hAnsiTheme="majorBidi" w:cstheme="majorBidi"/>
        </w:rPr>
        <w:t xml:space="preserve"> = .41 vs </w:t>
      </w:r>
      <w:proofErr w:type="spellStart"/>
      <w:r w:rsidRPr="00ED662A">
        <w:rPr>
          <w:rFonts w:asciiTheme="majorBidi" w:hAnsiTheme="majorBidi" w:cstheme="majorBidi"/>
          <w:i/>
          <w:iCs/>
        </w:rPr>
        <w:t>M</w:t>
      </w:r>
      <w:r>
        <w:rPr>
          <w:rFonts w:asciiTheme="majorBidi" w:hAnsiTheme="majorBidi" w:cstheme="majorBidi"/>
          <w:i/>
          <w:iCs/>
          <w:vertAlign w:val="subscript"/>
        </w:rPr>
        <w:t>education</w:t>
      </w:r>
      <w:proofErr w:type="spellEnd"/>
      <w:r>
        <w:rPr>
          <w:rFonts w:asciiTheme="majorBidi" w:hAnsiTheme="majorBidi" w:cstheme="majorBidi"/>
        </w:rPr>
        <w:t xml:space="preserve"> = .48, </w:t>
      </w:r>
      <w:r w:rsidRPr="006C28E6">
        <w:rPr>
          <w:rFonts w:asciiTheme="majorBidi" w:hAnsiTheme="majorBidi" w:cstheme="majorBidi"/>
          <w:i/>
          <w:iCs/>
        </w:rPr>
        <w:t>F</w:t>
      </w:r>
      <w:r>
        <w:rPr>
          <w:rFonts w:asciiTheme="majorBidi" w:hAnsiTheme="majorBidi" w:cstheme="majorBidi"/>
        </w:rPr>
        <w:t xml:space="preserve">(1,276) = 3.58, </w:t>
      </w:r>
      <w:r w:rsidRPr="00ED662A">
        <w:rPr>
          <w:rFonts w:asciiTheme="majorBidi" w:hAnsiTheme="majorBidi" w:cstheme="majorBidi"/>
          <w:i/>
          <w:iCs/>
        </w:rPr>
        <w:t>p</w:t>
      </w:r>
      <w:r>
        <w:rPr>
          <w:rFonts w:asciiTheme="majorBidi" w:hAnsiTheme="majorBidi" w:cstheme="majorBidi"/>
        </w:rPr>
        <w:t xml:space="preserve"> =.06). The</w:t>
      </w:r>
      <w:r w:rsidRPr="00434349">
        <w:rPr>
          <w:rFonts w:asciiTheme="majorBidi" w:hAnsiTheme="majorBidi" w:cstheme="majorBidi"/>
        </w:rPr>
        <w:t xml:space="preserve"> interaction of </w:t>
      </w:r>
      <w:r>
        <w:rPr>
          <w:rFonts w:asciiTheme="majorBidi" w:hAnsiTheme="majorBidi" w:cstheme="majorBidi"/>
        </w:rPr>
        <w:t xml:space="preserve">probability education </w:t>
      </w:r>
      <w:r w:rsidRPr="00434349">
        <w:rPr>
          <w:rFonts w:asciiTheme="majorBidi" w:hAnsiTheme="majorBidi" w:cstheme="majorBidi"/>
        </w:rPr>
        <w:t>and choice structure</w:t>
      </w:r>
      <w:r>
        <w:rPr>
          <w:rFonts w:asciiTheme="majorBidi" w:hAnsiTheme="majorBidi" w:cstheme="majorBidi"/>
        </w:rPr>
        <w:t xml:space="preserve"> was not significant (</w:t>
      </w:r>
      <w:proofErr w:type="gramStart"/>
      <w:r w:rsidRPr="007A2E74">
        <w:rPr>
          <w:rFonts w:asciiTheme="majorBidi" w:hAnsiTheme="majorBidi" w:cstheme="majorBidi"/>
          <w:i/>
          <w:iCs/>
        </w:rPr>
        <w:t>F</w:t>
      </w:r>
      <w:r>
        <w:rPr>
          <w:rFonts w:asciiTheme="majorBidi" w:hAnsiTheme="majorBidi" w:cstheme="majorBidi"/>
        </w:rPr>
        <w:t>(</w:t>
      </w:r>
      <w:proofErr w:type="gramEnd"/>
      <w:r>
        <w:rPr>
          <w:rFonts w:asciiTheme="majorBidi" w:hAnsiTheme="majorBidi" w:cstheme="majorBidi"/>
        </w:rPr>
        <w:t xml:space="preserve">1,276) = .11 , </w:t>
      </w:r>
      <w:r w:rsidRPr="007A2E74">
        <w:rPr>
          <w:rFonts w:asciiTheme="majorBidi" w:hAnsiTheme="majorBidi" w:cstheme="majorBidi"/>
          <w:i/>
          <w:iCs/>
        </w:rPr>
        <w:t>p</w:t>
      </w:r>
      <w:r>
        <w:rPr>
          <w:rFonts w:asciiTheme="majorBidi" w:hAnsiTheme="majorBidi" w:cstheme="majorBidi"/>
        </w:rPr>
        <w:t xml:space="preserve"> = .74)</w:t>
      </w:r>
      <w:r w:rsidRPr="00434349">
        <w:rPr>
          <w:rFonts w:asciiTheme="majorBidi" w:hAnsiTheme="majorBidi" w:cstheme="majorBidi"/>
        </w:rPr>
        <w:t xml:space="preserve">. As seen in </w:t>
      </w:r>
      <w:r>
        <w:rPr>
          <w:rFonts w:asciiTheme="majorBidi" w:hAnsiTheme="majorBidi" w:cstheme="majorBidi"/>
        </w:rPr>
        <w:t>F</w:t>
      </w:r>
      <w:r w:rsidRPr="00434349">
        <w:rPr>
          <w:rFonts w:asciiTheme="majorBidi" w:hAnsiTheme="majorBidi" w:cstheme="majorBidi"/>
        </w:rPr>
        <w:t xml:space="preserve">igure </w:t>
      </w:r>
      <w:r>
        <w:rPr>
          <w:rFonts w:asciiTheme="majorBidi" w:hAnsiTheme="majorBidi" w:cstheme="majorBidi"/>
        </w:rPr>
        <w:t>2</w:t>
      </w:r>
      <w:r w:rsidRPr="00434349">
        <w:rPr>
          <w:rFonts w:asciiTheme="majorBidi" w:hAnsiTheme="majorBidi" w:cstheme="majorBidi"/>
        </w:rPr>
        <w:t xml:space="preserve">, </w:t>
      </w:r>
      <w:r>
        <w:rPr>
          <w:rFonts w:asciiTheme="majorBidi" w:hAnsiTheme="majorBidi" w:cstheme="majorBidi"/>
        </w:rPr>
        <w:t xml:space="preserve">precommitment is </w:t>
      </w:r>
      <w:r>
        <w:rPr>
          <w:rFonts w:asciiTheme="majorBidi" w:hAnsiTheme="majorBidi" w:cstheme="majorBidi"/>
        </w:rPr>
        <w:lastRenderedPageBreak/>
        <w:t>equally effective regardless of whether participants received the probability education or not.</w:t>
      </w:r>
    </w:p>
    <w:p w14:paraId="7D35F34C" w14:textId="59FDF458" w:rsidR="00111624" w:rsidRPr="00111624" w:rsidRDefault="00111624" w:rsidP="003C2ABB">
      <w:pPr>
        <w:spacing w:line="480" w:lineRule="auto"/>
        <w:rPr>
          <w:rFonts w:asciiTheme="majorBidi" w:hAnsiTheme="majorBidi" w:cstheme="majorBidi"/>
          <w:i/>
          <w:iCs/>
        </w:rPr>
      </w:pPr>
      <w:r w:rsidRPr="00111624">
        <w:rPr>
          <w:rFonts w:asciiTheme="majorBidi" w:hAnsiTheme="majorBidi" w:cstheme="majorBidi"/>
          <w:i/>
          <w:iCs/>
        </w:rPr>
        <w:t xml:space="preserve">Figure 2. Overall proportion of safe choices in Study 2, as a function of precommitment (or control) and probability education (or control). </w:t>
      </w:r>
      <w:r>
        <w:rPr>
          <w:rFonts w:asciiTheme="majorBidi" w:hAnsiTheme="majorBidi" w:cstheme="majorBidi"/>
          <w:i/>
          <w:iCs/>
        </w:rPr>
        <w:t xml:space="preserve">Error bars indicate +/- one standard error. </w:t>
      </w:r>
    </w:p>
    <w:p w14:paraId="52506209" w14:textId="77777777" w:rsidR="003C2ABB" w:rsidRDefault="003C2ABB" w:rsidP="003C2ABB">
      <w:pPr>
        <w:spacing w:line="480" w:lineRule="auto"/>
        <w:rPr>
          <w:rFonts w:asciiTheme="majorBidi" w:hAnsiTheme="majorBidi" w:cstheme="majorBidi"/>
        </w:rPr>
      </w:pPr>
      <w:r>
        <w:rPr>
          <w:noProof/>
        </w:rPr>
        <w:drawing>
          <wp:inline distT="0" distB="0" distL="0" distR="0" wp14:anchorId="17B71136" wp14:editId="2815630D">
            <wp:extent cx="6438900" cy="3733800"/>
            <wp:effectExtent l="0" t="0" r="0" b="0"/>
            <wp:docPr id="11" name="Chart 11">
              <a:extLst xmlns:a="http://schemas.openxmlformats.org/drawingml/2006/main">
                <a:ext uri="{FF2B5EF4-FFF2-40B4-BE49-F238E27FC236}">
                  <a16:creationId xmlns:a16="http://schemas.microsoft.com/office/drawing/2014/main" id="{339B4A3D-92C7-4425-810B-91A2599DF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4D79CC" w14:textId="77777777" w:rsidR="003C2ABB" w:rsidRDefault="003C2ABB" w:rsidP="003C2ABB"/>
    <w:p w14:paraId="28465C4E" w14:textId="78951AB2" w:rsidR="003C2ABB" w:rsidRPr="00434349" w:rsidRDefault="003C2ABB" w:rsidP="003C2ABB">
      <w:pPr>
        <w:spacing w:after="160" w:line="480" w:lineRule="auto"/>
        <w:rPr>
          <w:rFonts w:asciiTheme="majorBidi" w:eastAsia="Calibri" w:hAnsiTheme="majorBidi" w:cstheme="majorBidi"/>
          <w:i/>
          <w:iCs/>
          <w:lang w:val="en-CA"/>
        </w:rPr>
      </w:pPr>
      <w:r w:rsidRPr="00434349">
        <w:rPr>
          <w:rFonts w:asciiTheme="majorBidi" w:eastAsia="Calibri" w:hAnsiTheme="majorBidi" w:cstheme="majorBidi"/>
          <w:i/>
          <w:iCs/>
          <w:lang w:val="en-CA"/>
        </w:rPr>
        <w:t xml:space="preserve">Study </w:t>
      </w:r>
      <w:r>
        <w:rPr>
          <w:rFonts w:asciiTheme="majorBidi" w:eastAsia="Calibri" w:hAnsiTheme="majorBidi" w:cstheme="majorBidi"/>
          <w:i/>
          <w:iCs/>
          <w:lang w:val="en-CA"/>
        </w:rPr>
        <w:t>2</w:t>
      </w:r>
      <w:r w:rsidRPr="00434349">
        <w:rPr>
          <w:rFonts w:asciiTheme="majorBidi" w:eastAsia="Calibri" w:hAnsiTheme="majorBidi" w:cstheme="majorBidi"/>
          <w:i/>
          <w:iCs/>
          <w:lang w:val="en-CA"/>
        </w:rPr>
        <w:t>: Discussion</w:t>
      </w:r>
    </w:p>
    <w:p w14:paraId="2E4FE3F8" w14:textId="06F780EB" w:rsidR="003C2ABB" w:rsidRDefault="003C2ABB" w:rsidP="003C2ABB">
      <w:pPr>
        <w:spacing w:after="160" w:line="480" w:lineRule="auto"/>
        <w:rPr>
          <w:rFonts w:asciiTheme="majorBidi" w:eastAsia="Calibri" w:hAnsiTheme="majorBidi" w:cstheme="majorBidi"/>
          <w:lang w:val="en-CA"/>
        </w:rPr>
      </w:pPr>
      <w:r>
        <w:rPr>
          <w:rFonts w:asciiTheme="majorBidi" w:eastAsia="Calibri" w:hAnsiTheme="majorBidi" w:cstheme="majorBidi"/>
          <w:lang w:val="en-CA"/>
        </w:rPr>
        <w:tab/>
        <w:t>T</w:t>
      </w:r>
      <w:r w:rsidRPr="00434349">
        <w:rPr>
          <w:rFonts w:asciiTheme="majorBidi" w:eastAsia="Calibri" w:hAnsiTheme="majorBidi" w:cstheme="majorBidi"/>
          <w:lang w:val="en-CA"/>
        </w:rPr>
        <w:t>he effect of precommitment was replicated such that individuals who precommit</w:t>
      </w:r>
      <w:r w:rsidR="00645B94">
        <w:rPr>
          <w:rFonts w:asciiTheme="majorBidi" w:eastAsia="Calibri" w:hAnsiTheme="majorBidi" w:cstheme="majorBidi"/>
          <w:lang w:val="en-CA"/>
        </w:rPr>
        <w:t>t</w:t>
      </w:r>
      <w:r w:rsidRPr="00434349">
        <w:rPr>
          <w:rFonts w:asciiTheme="majorBidi" w:eastAsia="Calibri" w:hAnsiTheme="majorBidi" w:cstheme="majorBidi"/>
          <w:lang w:val="en-CA"/>
        </w:rPr>
        <w:t xml:space="preserve">ed their choices </w:t>
      </w:r>
      <w:r>
        <w:rPr>
          <w:rFonts w:asciiTheme="majorBidi" w:eastAsia="Calibri" w:hAnsiTheme="majorBidi" w:cstheme="majorBidi"/>
          <w:lang w:val="en-CA"/>
        </w:rPr>
        <w:t>chose</w:t>
      </w:r>
      <w:r w:rsidRPr="00434349">
        <w:rPr>
          <w:rFonts w:asciiTheme="majorBidi" w:eastAsia="Calibri" w:hAnsiTheme="majorBidi" w:cstheme="majorBidi"/>
          <w:lang w:val="en-CA"/>
        </w:rPr>
        <w:t xml:space="preserve"> the safer option </w:t>
      </w:r>
      <w:r>
        <w:rPr>
          <w:rFonts w:asciiTheme="majorBidi" w:eastAsia="Calibri" w:hAnsiTheme="majorBidi" w:cstheme="majorBidi"/>
          <w:lang w:val="en-CA"/>
        </w:rPr>
        <w:t xml:space="preserve">more often </w:t>
      </w:r>
      <w:r w:rsidRPr="00434349">
        <w:rPr>
          <w:rFonts w:asciiTheme="majorBidi" w:eastAsia="Calibri" w:hAnsiTheme="majorBidi" w:cstheme="majorBidi"/>
          <w:lang w:val="en-CA"/>
        </w:rPr>
        <w:t>than those who made their choices round-by-round</w:t>
      </w:r>
      <w:r w:rsidR="00C6090A">
        <w:rPr>
          <w:rFonts w:asciiTheme="majorBidi" w:eastAsia="Calibri" w:hAnsiTheme="majorBidi" w:cstheme="majorBidi"/>
          <w:lang w:val="en-CA"/>
        </w:rPr>
        <w:t xml:space="preserve"> (supporting H1)</w:t>
      </w:r>
      <w:r w:rsidRPr="00434349">
        <w:rPr>
          <w:rFonts w:asciiTheme="majorBidi" w:eastAsia="Calibri" w:hAnsiTheme="majorBidi" w:cstheme="majorBidi"/>
          <w:lang w:val="en-CA"/>
        </w:rPr>
        <w:t xml:space="preserve">. </w:t>
      </w:r>
      <w:r>
        <w:rPr>
          <w:rFonts w:asciiTheme="majorBidi" w:eastAsia="Calibri" w:hAnsiTheme="majorBidi" w:cstheme="majorBidi"/>
          <w:lang w:val="en-CA"/>
        </w:rPr>
        <w:t xml:space="preserve">Educating participants about the probability of the big loss happening at least one over the 20 rounds had a similar effect, increasing the choice of safe option. </w:t>
      </w:r>
      <w:r w:rsidR="00C6090A">
        <w:rPr>
          <w:rFonts w:asciiTheme="majorBidi" w:eastAsia="Calibri" w:hAnsiTheme="majorBidi" w:cstheme="majorBidi"/>
          <w:lang w:val="en-CA"/>
        </w:rPr>
        <w:t xml:space="preserve">However, it did not influence the precommitment effect (supporting H3). </w:t>
      </w:r>
    </w:p>
    <w:p w14:paraId="7C848EDF" w14:textId="542C1FB7" w:rsidR="003C2ABB" w:rsidRDefault="00C6090A" w:rsidP="00C6090A">
      <w:pPr>
        <w:spacing w:after="160" w:line="480" w:lineRule="auto"/>
        <w:rPr>
          <w:rFonts w:asciiTheme="majorBidi" w:eastAsia="Calibri" w:hAnsiTheme="majorBidi" w:cstheme="majorBidi"/>
          <w:lang w:val="en-CA"/>
        </w:rPr>
      </w:pPr>
      <w:r>
        <w:rPr>
          <w:rFonts w:asciiTheme="majorBidi" w:eastAsia="Calibri" w:hAnsiTheme="majorBidi" w:cstheme="majorBidi"/>
          <w:lang w:val="en-CA"/>
        </w:rPr>
        <w:lastRenderedPageBreak/>
        <w:tab/>
        <w:t>This study shows that precommitment and broad bracketing of probability are separate, additive tools for nudging</w:t>
      </w:r>
      <w:r w:rsidR="009B0988">
        <w:rPr>
          <w:rFonts w:asciiTheme="majorBidi" w:eastAsia="Calibri" w:hAnsiTheme="majorBidi" w:cstheme="majorBidi"/>
          <w:lang w:val="en-CA"/>
        </w:rPr>
        <w:t>, and suggests that they involve separate mental processes</w:t>
      </w:r>
      <w:r>
        <w:rPr>
          <w:rFonts w:asciiTheme="majorBidi" w:eastAsia="Calibri" w:hAnsiTheme="majorBidi" w:cstheme="majorBidi"/>
          <w:lang w:val="en-CA"/>
        </w:rPr>
        <w:t xml:space="preserve">. Thus, </w:t>
      </w:r>
      <w:r w:rsidR="00F75953">
        <w:rPr>
          <w:rFonts w:asciiTheme="majorBidi" w:eastAsia="Calibri" w:hAnsiTheme="majorBidi" w:cstheme="majorBidi"/>
          <w:lang w:val="en-CA"/>
        </w:rPr>
        <w:t>any</w:t>
      </w:r>
      <w:r>
        <w:rPr>
          <w:rFonts w:asciiTheme="majorBidi" w:eastAsia="Calibri" w:hAnsiTheme="majorBidi" w:cstheme="majorBidi"/>
          <w:lang w:val="en-CA"/>
        </w:rPr>
        <w:t xml:space="preserve"> choice architect aiming to increase safety behaviour would be wise to consider using both interventions</w:t>
      </w:r>
      <w:r w:rsidR="00AA548D">
        <w:rPr>
          <w:rFonts w:asciiTheme="majorBidi" w:eastAsia="Calibri" w:hAnsiTheme="majorBidi" w:cstheme="majorBidi"/>
          <w:lang w:val="en-CA"/>
        </w:rPr>
        <w:t xml:space="preserve"> together</w:t>
      </w:r>
      <w:r>
        <w:rPr>
          <w:rFonts w:asciiTheme="majorBidi" w:eastAsia="Calibri" w:hAnsiTheme="majorBidi" w:cstheme="majorBidi"/>
          <w:lang w:val="en-CA"/>
        </w:rPr>
        <w:t xml:space="preserve">, rather than just one or the other. </w:t>
      </w:r>
    </w:p>
    <w:p w14:paraId="3BC9875F" w14:textId="23E7E6A9" w:rsidR="00C21AB9" w:rsidRDefault="00C21AB9" w:rsidP="00C6090A">
      <w:pPr>
        <w:spacing w:after="160" w:line="480" w:lineRule="auto"/>
        <w:rPr>
          <w:rFonts w:asciiTheme="majorBidi" w:eastAsia="Calibri" w:hAnsiTheme="majorBidi" w:cstheme="majorBidi"/>
          <w:lang w:val="en-CA"/>
        </w:rPr>
      </w:pPr>
      <w:r>
        <w:rPr>
          <w:rFonts w:asciiTheme="majorBidi" w:eastAsia="Calibri" w:hAnsiTheme="majorBidi" w:cstheme="majorBidi"/>
          <w:lang w:val="en-CA"/>
        </w:rPr>
        <w:tab/>
        <w:t xml:space="preserve">In Study 3, we examine the same issue of whether precommitment is driven by probability perception or not, using a different experimental paradigm. </w:t>
      </w:r>
    </w:p>
    <w:p w14:paraId="1288B5EB" w14:textId="77777777" w:rsidR="00FE2680" w:rsidRDefault="00FE2680" w:rsidP="00C6090A">
      <w:pPr>
        <w:spacing w:after="160" w:line="480" w:lineRule="auto"/>
        <w:rPr>
          <w:rFonts w:ascii="Times New Roman" w:hAnsi="Times New Roman"/>
          <w:i/>
          <w:iCs/>
        </w:rPr>
      </w:pPr>
    </w:p>
    <w:p w14:paraId="2AAABA91" w14:textId="3415ED7B" w:rsidR="007F39CB" w:rsidRDefault="007F39CB" w:rsidP="00073B13">
      <w:pPr>
        <w:jc w:val="center"/>
        <w:rPr>
          <w:rFonts w:asciiTheme="majorBidi" w:hAnsiTheme="majorBidi" w:cstheme="majorBidi"/>
          <w:i/>
          <w:iCs/>
        </w:rPr>
      </w:pPr>
      <w:r w:rsidRPr="00434349">
        <w:rPr>
          <w:rFonts w:asciiTheme="majorBidi" w:hAnsiTheme="majorBidi" w:cstheme="majorBidi"/>
          <w:i/>
          <w:iCs/>
        </w:rPr>
        <w:t xml:space="preserve">Study </w:t>
      </w:r>
      <w:r w:rsidR="003C2ABB">
        <w:rPr>
          <w:rFonts w:asciiTheme="majorBidi" w:hAnsiTheme="majorBidi" w:cstheme="majorBidi"/>
          <w:i/>
          <w:iCs/>
        </w:rPr>
        <w:t>3</w:t>
      </w:r>
      <w:r w:rsidRPr="00434349">
        <w:rPr>
          <w:rFonts w:asciiTheme="majorBidi" w:hAnsiTheme="majorBidi" w:cstheme="majorBidi"/>
          <w:i/>
          <w:iCs/>
        </w:rPr>
        <w:t xml:space="preserve">: </w:t>
      </w:r>
      <w:r w:rsidR="00073B13">
        <w:rPr>
          <w:rFonts w:asciiTheme="majorBidi" w:hAnsiTheme="majorBidi" w:cstheme="majorBidi"/>
          <w:i/>
          <w:iCs/>
        </w:rPr>
        <w:t>Varying the number of rounds</w:t>
      </w:r>
    </w:p>
    <w:p w14:paraId="72C4059E" w14:textId="77777777" w:rsidR="007F39CB" w:rsidRPr="00434349" w:rsidRDefault="007F39CB" w:rsidP="007F39CB">
      <w:pPr>
        <w:rPr>
          <w:rFonts w:asciiTheme="majorBidi" w:hAnsiTheme="majorBidi" w:cstheme="majorBidi"/>
          <w:i/>
          <w:iCs/>
        </w:rPr>
      </w:pPr>
    </w:p>
    <w:p w14:paraId="76B7BEAA" w14:textId="1ADD7536" w:rsidR="00AF422D" w:rsidRDefault="007F39CB" w:rsidP="007F39CB">
      <w:pPr>
        <w:spacing w:line="480" w:lineRule="auto"/>
        <w:rPr>
          <w:rFonts w:asciiTheme="majorBidi" w:hAnsiTheme="majorBidi" w:cstheme="majorBidi"/>
        </w:rPr>
      </w:pPr>
      <w:r>
        <w:rPr>
          <w:rFonts w:asciiTheme="majorBidi" w:hAnsiTheme="majorBidi" w:cstheme="majorBidi"/>
        </w:rPr>
        <w:tab/>
        <w:t xml:space="preserve">The goal of study </w:t>
      </w:r>
      <w:r w:rsidR="003C2ABB">
        <w:rPr>
          <w:rFonts w:asciiTheme="majorBidi" w:hAnsiTheme="majorBidi" w:cstheme="majorBidi"/>
        </w:rPr>
        <w:t>3</w:t>
      </w:r>
      <w:r>
        <w:rPr>
          <w:rFonts w:asciiTheme="majorBidi" w:hAnsiTheme="majorBidi" w:cstheme="majorBidi"/>
        </w:rPr>
        <w:t xml:space="preserve"> is to test the extent to which precommitment </w:t>
      </w:r>
      <w:r w:rsidR="00FE2680">
        <w:rPr>
          <w:rFonts w:asciiTheme="majorBidi" w:hAnsiTheme="majorBidi" w:cstheme="majorBidi"/>
        </w:rPr>
        <w:t>varies as a function of the number of choices precommitted to (i.e., the number of rounds in the block)</w:t>
      </w:r>
      <w:r>
        <w:rPr>
          <w:rFonts w:asciiTheme="majorBidi" w:hAnsiTheme="majorBidi" w:cstheme="majorBidi"/>
        </w:rPr>
        <w:t xml:space="preserve">. </w:t>
      </w:r>
      <w:r w:rsidR="00FE2680">
        <w:rPr>
          <w:rFonts w:asciiTheme="majorBidi" w:hAnsiTheme="majorBidi" w:cstheme="majorBidi"/>
        </w:rPr>
        <w:t>In previous studies</w:t>
      </w:r>
      <w:r>
        <w:rPr>
          <w:rFonts w:asciiTheme="majorBidi" w:hAnsiTheme="majorBidi" w:cstheme="majorBidi"/>
        </w:rPr>
        <w:t xml:space="preserve">, </w:t>
      </w:r>
      <w:r w:rsidR="00FE2680">
        <w:rPr>
          <w:rFonts w:asciiTheme="majorBidi" w:hAnsiTheme="majorBidi" w:cstheme="majorBidi"/>
        </w:rPr>
        <w:t>the game always involved</w:t>
      </w:r>
      <w:r>
        <w:rPr>
          <w:rFonts w:asciiTheme="majorBidi" w:hAnsiTheme="majorBidi" w:cstheme="majorBidi"/>
        </w:rPr>
        <w:t xml:space="preserve"> 4 blocks of 20 rounds</w:t>
      </w:r>
      <w:r w:rsidR="00AF422D">
        <w:rPr>
          <w:rFonts w:asciiTheme="majorBidi" w:hAnsiTheme="majorBidi" w:cstheme="majorBidi"/>
        </w:rPr>
        <w:t>, but in the current study, the block length is varied to be 5 rounds, 10 rounds, or 20 rounds</w:t>
      </w:r>
      <w:r>
        <w:rPr>
          <w:rFonts w:asciiTheme="majorBidi" w:hAnsiTheme="majorBidi" w:cstheme="majorBidi"/>
        </w:rPr>
        <w:t xml:space="preserve">. </w:t>
      </w:r>
      <w:r w:rsidR="00AF422D">
        <w:rPr>
          <w:rFonts w:asciiTheme="majorBidi" w:hAnsiTheme="majorBidi" w:cstheme="majorBidi"/>
        </w:rPr>
        <w:t xml:space="preserve">The overall length of the study is correspondingly affected, to be 20 rounds in total (across all 4 blocks), 40 rounds in total, or 80 rounds in total (as in previous studies). </w:t>
      </w:r>
    </w:p>
    <w:p w14:paraId="65188066" w14:textId="25D7D684" w:rsidR="007F39CB" w:rsidRDefault="00AF422D" w:rsidP="00AF422D">
      <w:pPr>
        <w:spacing w:line="480" w:lineRule="auto"/>
        <w:ind w:firstLine="720"/>
        <w:rPr>
          <w:rFonts w:asciiTheme="majorBidi" w:hAnsiTheme="majorBidi" w:cstheme="majorBidi"/>
        </w:rPr>
      </w:pPr>
      <w:r>
        <w:rPr>
          <w:rFonts w:asciiTheme="majorBidi" w:hAnsiTheme="majorBidi" w:cstheme="majorBidi"/>
        </w:rPr>
        <w:t xml:space="preserve">If the precommit effect is driven by a shift from a single-round focus to planning and a focus on both the individual round outcome and the cumulative outcome (H2), this should be true regardless of the block length. However, if the precommitment effect is driven by cumulative probability perceptions, the effect should be weakest in the 5 round version, as the cumulative chance that the loss will occur at least once in five rounds is somewhat low, and at any rate is noticeably lower than the chance that the loss would happen at least once in 20 rounds. </w:t>
      </w:r>
    </w:p>
    <w:p w14:paraId="7802A896" w14:textId="40E6F2E8" w:rsidR="007F39CB" w:rsidRPr="00434349" w:rsidRDefault="007F39CB" w:rsidP="007F39CB">
      <w:pPr>
        <w:spacing w:line="480" w:lineRule="auto"/>
        <w:rPr>
          <w:rFonts w:asciiTheme="majorBidi" w:hAnsiTheme="majorBidi" w:cstheme="majorBidi"/>
          <w:i/>
          <w:iCs/>
        </w:rPr>
      </w:pPr>
      <w:r w:rsidRPr="00434349">
        <w:rPr>
          <w:rFonts w:asciiTheme="majorBidi" w:hAnsiTheme="majorBidi" w:cstheme="majorBidi"/>
          <w:i/>
          <w:iCs/>
        </w:rPr>
        <w:t>Study</w:t>
      </w:r>
      <w:r>
        <w:rPr>
          <w:rFonts w:asciiTheme="majorBidi" w:hAnsiTheme="majorBidi" w:cstheme="majorBidi"/>
          <w:i/>
          <w:iCs/>
        </w:rPr>
        <w:t xml:space="preserve"> </w:t>
      </w:r>
      <w:r w:rsidR="003C2ABB">
        <w:rPr>
          <w:rFonts w:asciiTheme="majorBidi" w:hAnsiTheme="majorBidi" w:cstheme="majorBidi"/>
          <w:i/>
          <w:iCs/>
        </w:rPr>
        <w:t>3</w:t>
      </w:r>
      <w:r w:rsidRPr="00434349">
        <w:rPr>
          <w:rFonts w:asciiTheme="majorBidi" w:hAnsiTheme="majorBidi" w:cstheme="majorBidi"/>
          <w:i/>
          <w:iCs/>
        </w:rPr>
        <w:t xml:space="preserve">: </w:t>
      </w:r>
      <w:r>
        <w:rPr>
          <w:rFonts w:asciiTheme="majorBidi" w:hAnsiTheme="majorBidi" w:cstheme="majorBidi"/>
          <w:i/>
          <w:iCs/>
        </w:rPr>
        <w:t>Methods</w:t>
      </w:r>
    </w:p>
    <w:p w14:paraId="190A730A" w14:textId="60197AF4" w:rsidR="007F39CB" w:rsidRPr="006850FF" w:rsidRDefault="007F39CB" w:rsidP="007F39CB">
      <w:pPr>
        <w:spacing w:line="480" w:lineRule="auto"/>
        <w:rPr>
          <w:rFonts w:asciiTheme="majorBidi" w:hAnsiTheme="majorBidi" w:cstheme="majorBidi"/>
        </w:rPr>
      </w:pPr>
      <w:r>
        <w:rPr>
          <w:rFonts w:asciiTheme="majorBidi" w:hAnsiTheme="majorBidi" w:cstheme="majorBidi"/>
        </w:rPr>
        <w:lastRenderedPageBreak/>
        <w:tab/>
        <w:t>422</w:t>
      </w:r>
      <w:r w:rsidRPr="00434349">
        <w:rPr>
          <w:rFonts w:asciiTheme="majorBidi" w:hAnsiTheme="majorBidi" w:cstheme="majorBidi"/>
        </w:rPr>
        <w:t xml:space="preserve"> participants (</w:t>
      </w:r>
      <w:r>
        <w:rPr>
          <w:rFonts w:asciiTheme="majorBidi" w:hAnsiTheme="majorBidi" w:cstheme="majorBidi"/>
        </w:rPr>
        <w:t>48.3</w:t>
      </w:r>
      <w:r w:rsidRPr="00434349">
        <w:rPr>
          <w:rFonts w:asciiTheme="majorBidi" w:hAnsiTheme="majorBidi" w:cstheme="majorBidi"/>
        </w:rPr>
        <w:t>% female</w:t>
      </w:r>
      <w:r w:rsidR="0092747F">
        <w:rPr>
          <w:rFonts w:asciiTheme="majorBidi" w:hAnsiTheme="majorBidi" w:cstheme="majorBidi"/>
        </w:rPr>
        <w:t>, M</w:t>
      </w:r>
      <w:r w:rsidR="0092747F" w:rsidRPr="0092747F">
        <w:rPr>
          <w:rFonts w:asciiTheme="majorBidi" w:hAnsiTheme="majorBidi" w:cstheme="majorBidi"/>
          <w:vertAlign w:val="subscript"/>
        </w:rPr>
        <w:t>age</w:t>
      </w:r>
      <w:r w:rsidR="0092747F">
        <w:rPr>
          <w:rFonts w:asciiTheme="majorBidi" w:hAnsiTheme="majorBidi" w:cstheme="majorBidi"/>
        </w:rPr>
        <w:t xml:space="preserve"> = 35.1</w:t>
      </w:r>
      <w:r w:rsidRPr="00434349">
        <w:rPr>
          <w:rFonts w:asciiTheme="majorBidi" w:hAnsiTheme="majorBidi" w:cstheme="majorBidi"/>
        </w:rPr>
        <w:t>) were recruited from</w:t>
      </w:r>
      <w:r>
        <w:rPr>
          <w:rFonts w:asciiTheme="majorBidi" w:hAnsiTheme="majorBidi" w:cstheme="majorBidi"/>
        </w:rPr>
        <w:t xml:space="preserve"> Prolific Academic participant pool in exchange for a fixed monetary compensation</w:t>
      </w:r>
      <w:r w:rsidRPr="00434349">
        <w:rPr>
          <w:rFonts w:asciiTheme="majorBidi" w:hAnsiTheme="majorBidi" w:cstheme="majorBidi"/>
        </w:rPr>
        <w:t xml:space="preserve">. Participants played the same game </w:t>
      </w:r>
      <w:r>
        <w:rPr>
          <w:rFonts w:asciiTheme="majorBidi" w:hAnsiTheme="majorBidi" w:cstheme="majorBidi"/>
        </w:rPr>
        <w:t>as previous studies</w:t>
      </w:r>
      <w:r w:rsidRPr="00434349">
        <w:rPr>
          <w:rFonts w:asciiTheme="majorBidi" w:hAnsiTheme="majorBidi" w:cstheme="majorBidi"/>
        </w:rPr>
        <w:t xml:space="preserve"> in a 2 (choice structure: precommit</w:t>
      </w:r>
      <w:r w:rsidR="00645B94">
        <w:rPr>
          <w:rFonts w:asciiTheme="majorBidi" w:hAnsiTheme="majorBidi" w:cstheme="majorBidi"/>
        </w:rPr>
        <w:t>t</w:t>
      </w:r>
      <w:r w:rsidRPr="00434349">
        <w:rPr>
          <w:rFonts w:asciiTheme="majorBidi" w:hAnsiTheme="majorBidi" w:cstheme="majorBidi"/>
        </w:rPr>
        <w:t xml:space="preserve">ed versus repeated) by </w:t>
      </w:r>
      <w:r>
        <w:rPr>
          <w:rFonts w:asciiTheme="majorBidi" w:hAnsiTheme="majorBidi" w:cstheme="majorBidi"/>
        </w:rPr>
        <w:t>3</w:t>
      </w:r>
      <w:r w:rsidRPr="00434349">
        <w:rPr>
          <w:rFonts w:asciiTheme="majorBidi" w:hAnsiTheme="majorBidi" w:cstheme="majorBidi"/>
        </w:rPr>
        <w:t xml:space="preserve"> (</w:t>
      </w:r>
      <w:r>
        <w:rPr>
          <w:rFonts w:asciiTheme="majorBidi" w:hAnsiTheme="majorBidi" w:cstheme="majorBidi"/>
        </w:rPr>
        <w:t>number of rounds: 20 versus 10 versus 5</w:t>
      </w:r>
      <w:r w:rsidRPr="00434349">
        <w:rPr>
          <w:rFonts w:asciiTheme="majorBidi" w:hAnsiTheme="majorBidi" w:cstheme="majorBidi"/>
        </w:rPr>
        <w:t xml:space="preserve">) </w:t>
      </w:r>
      <w:r>
        <w:rPr>
          <w:rFonts w:asciiTheme="majorBidi" w:hAnsiTheme="majorBidi" w:cstheme="majorBidi"/>
        </w:rPr>
        <w:t xml:space="preserve">between-subject design. The procedure was identical across the number of rounds factor with the only difference being the number of rounds participants played the game in each block. </w:t>
      </w:r>
    </w:p>
    <w:p w14:paraId="40EBF384" w14:textId="1073E313" w:rsidR="007F39CB" w:rsidRPr="00434349" w:rsidRDefault="007F39CB" w:rsidP="007F39CB">
      <w:pPr>
        <w:spacing w:line="480" w:lineRule="auto"/>
        <w:rPr>
          <w:rFonts w:asciiTheme="majorBidi" w:hAnsiTheme="majorBidi" w:cstheme="majorBidi"/>
          <w:i/>
          <w:iCs/>
        </w:rPr>
      </w:pPr>
      <w:r w:rsidRPr="00434349">
        <w:rPr>
          <w:rFonts w:asciiTheme="majorBidi" w:hAnsiTheme="majorBidi" w:cstheme="majorBidi"/>
          <w:i/>
          <w:iCs/>
        </w:rPr>
        <w:t xml:space="preserve">Study </w:t>
      </w:r>
      <w:r w:rsidR="003C2ABB">
        <w:rPr>
          <w:rFonts w:asciiTheme="majorBidi" w:hAnsiTheme="majorBidi" w:cstheme="majorBidi"/>
          <w:i/>
          <w:iCs/>
        </w:rPr>
        <w:t>3</w:t>
      </w:r>
      <w:r w:rsidRPr="00434349">
        <w:rPr>
          <w:rFonts w:asciiTheme="majorBidi" w:hAnsiTheme="majorBidi" w:cstheme="majorBidi"/>
          <w:i/>
          <w:iCs/>
        </w:rPr>
        <w:t>: Results</w:t>
      </w:r>
    </w:p>
    <w:p w14:paraId="36E9E13A" w14:textId="1768A80B" w:rsidR="007F39CB" w:rsidRDefault="007F39CB" w:rsidP="00361FD8">
      <w:pPr>
        <w:spacing w:line="480" w:lineRule="auto"/>
        <w:rPr>
          <w:rFonts w:asciiTheme="majorBidi" w:hAnsiTheme="majorBidi" w:cstheme="majorBidi"/>
        </w:rPr>
      </w:pPr>
      <w:r>
        <w:rPr>
          <w:rFonts w:asciiTheme="majorBidi" w:hAnsiTheme="majorBidi" w:cstheme="majorBidi"/>
        </w:rPr>
        <w:tab/>
      </w:r>
      <w:r w:rsidR="00361FD8">
        <w:rPr>
          <w:rFonts w:asciiTheme="majorBidi" w:hAnsiTheme="majorBidi" w:cstheme="majorBidi"/>
        </w:rPr>
        <w:t xml:space="preserve">As seen in Figure 3, participants in the precommitment conditions chose the safe option more often (supporting H1). Furthermore, the effect of precommitment was roughly equally strong across different block lengths (consistent with H2 &amp; H3). </w:t>
      </w:r>
      <w:r>
        <w:rPr>
          <w:rFonts w:asciiTheme="majorBidi" w:hAnsiTheme="majorBidi" w:cstheme="majorBidi"/>
        </w:rPr>
        <w:t>A</w:t>
      </w:r>
      <w:r w:rsidRPr="00434349">
        <w:rPr>
          <w:rFonts w:asciiTheme="majorBidi" w:hAnsiTheme="majorBidi" w:cstheme="majorBidi"/>
        </w:rPr>
        <w:t xml:space="preserve"> 2 (choice structure</w:t>
      </w:r>
      <w:r w:rsidR="00361FD8">
        <w:rPr>
          <w:rFonts w:asciiTheme="majorBidi" w:hAnsiTheme="majorBidi" w:cstheme="majorBidi"/>
        </w:rPr>
        <w:t>: precommitted or repeated</w:t>
      </w:r>
      <w:r w:rsidRPr="00434349">
        <w:rPr>
          <w:rFonts w:asciiTheme="majorBidi" w:hAnsiTheme="majorBidi" w:cstheme="majorBidi"/>
        </w:rPr>
        <w:t xml:space="preserve">) by </w:t>
      </w:r>
      <w:r>
        <w:rPr>
          <w:rFonts w:asciiTheme="majorBidi" w:hAnsiTheme="majorBidi" w:cstheme="majorBidi"/>
        </w:rPr>
        <w:t>3 (number of rounds</w:t>
      </w:r>
      <w:r w:rsidR="00361FD8">
        <w:rPr>
          <w:rFonts w:asciiTheme="majorBidi" w:hAnsiTheme="majorBidi" w:cstheme="majorBidi"/>
        </w:rPr>
        <w:t>: 20, 10, or 5</w:t>
      </w:r>
      <w:r>
        <w:rPr>
          <w:rFonts w:asciiTheme="majorBidi" w:hAnsiTheme="majorBidi" w:cstheme="majorBidi"/>
        </w:rPr>
        <w:t xml:space="preserve">) </w:t>
      </w:r>
      <w:r w:rsidRPr="00434349">
        <w:rPr>
          <w:rFonts w:asciiTheme="majorBidi" w:hAnsiTheme="majorBidi" w:cstheme="majorBidi"/>
        </w:rPr>
        <w:t>by</w:t>
      </w:r>
      <w:r>
        <w:rPr>
          <w:rFonts w:asciiTheme="majorBidi" w:hAnsiTheme="majorBidi" w:cstheme="majorBidi"/>
        </w:rPr>
        <w:t xml:space="preserve"> </w:t>
      </w:r>
      <w:r w:rsidRPr="00434349">
        <w:rPr>
          <w:rFonts w:asciiTheme="majorBidi" w:hAnsiTheme="majorBidi" w:cstheme="majorBidi"/>
        </w:rPr>
        <w:t xml:space="preserve">4 repeated (blocks) ANOVA </w:t>
      </w:r>
      <w:r>
        <w:rPr>
          <w:rFonts w:asciiTheme="majorBidi" w:hAnsiTheme="majorBidi" w:cstheme="majorBidi"/>
        </w:rPr>
        <w:t>with investment proportion in each block as the DV found a main effect</w:t>
      </w:r>
      <w:r w:rsidRPr="00434349">
        <w:rPr>
          <w:rFonts w:asciiTheme="majorBidi" w:hAnsiTheme="majorBidi" w:cstheme="majorBidi"/>
        </w:rPr>
        <w:t xml:space="preserve"> of precommitment (</w:t>
      </w:r>
      <w:proofErr w:type="spellStart"/>
      <w:r w:rsidRPr="00413D90">
        <w:rPr>
          <w:rFonts w:asciiTheme="majorBidi" w:hAnsiTheme="majorBidi" w:cstheme="majorBidi"/>
          <w:i/>
        </w:rPr>
        <w:t>M</w:t>
      </w:r>
      <w:r w:rsidRPr="00434349">
        <w:rPr>
          <w:rFonts w:asciiTheme="majorBidi" w:hAnsiTheme="majorBidi" w:cstheme="majorBidi"/>
          <w:vertAlign w:val="subscript"/>
        </w:rPr>
        <w:t>rep</w:t>
      </w:r>
      <w:proofErr w:type="spellEnd"/>
      <w:r w:rsidRPr="00434349">
        <w:rPr>
          <w:rFonts w:asciiTheme="majorBidi" w:hAnsiTheme="majorBidi" w:cstheme="majorBidi"/>
          <w:vertAlign w:val="subscript"/>
        </w:rPr>
        <w:t xml:space="preserve"> </w:t>
      </w:r>
      <w:r w:rsidRPr="00434349">
        <w:rPr>
          <w:rFonts w:asciiTheme="majorBidi" w:hAnsiTheme="majorBidi" w:cstheme="majorBidi"/>
        </w:rPr>
        <w:t>= .</w:t>
      </w:r>
      <w:r>
        <w:rPr>
          <w:rFonts w:asciiTheme="majorBidi" w:hAnsiTheme="majorBidi" w:cstheme="majorBidi"/>
        </w:rPr>
        <w:t xml:space="preserve">32 vs </w:t>
      </w:r>
      <w:proofErr w:type="spellStart"/>
      <w:r w:rsidRPr="00413D90">
        <w:rPr>
          <w:rFonts w:asciiTheme="majorBidi" w:hAnsiTheme="majorBidi" w:cstheme="majorBidi"/>
          <w:i/>
        </w:rPr>
        <w:t>M</w:t>
      </w:r>
      <w:r w:rsidRPr="00434349">
        <w:rPr>
          <w:rFonts w:asciiTheme="majorBidi" w:hAnsiTheme="majorBidi" w:cstheme="majorBidi"/>
          <w:vertAlign w:val="subscript"/>
        </w:rPr>
        <w:t>pre</w:t>
      </w:r>
      <w:proofErr w:type="spellEnd"/>
      <w:r w:rsidRPr="00434349">
        <w:rPr>
          <w:rFonts w:asciiTheme="majorBidi" w:hAnsiTheme="majorBidi" w:cstheme="majorBidi"/>
          <w:vertAlign w:val="subscript"/>
        </w:rPr>
        <w:t xml:space="preserve"> </w:t>
      </w:r>
      <w:r w:rsidRPr="00434349">
        <w:rPr>
          <w:rFonts w:asciiTheme="majorBidi" w:hAnsiTheme="majorBidi" w:cstheme="majorBidi"/>
        </w:rPr>
        <w:t>= .</w:t>
      </w:r>
      <w:r>
        <w:rPr>
          <w:rFonts w:asciiTheme="majorBidi" w:hAnsiTheme="majorBidi" w:cstheme="majorBidi"/>
        </w:rPr>
        <w:t>47</w:t>
      </w:r>
      <w:r w:rsidRPr="00434349">
        <w:rPr>
          <w:rFonts w:asciiTheme="majorBidi" w:hAnsiTheme="majorBidi" w:cstheme="majorBidi"/>
        </w:rPr>
        <w:t>,</w:t>
      </w:r>
      <w:r w:rsidR="00772A1B">
        <w:rPr>
          <w:rFonts w:asciiTheme="majorBidi" w:hAnsiTheme="majorBidi" w:cstheme="majorBidi"/>
        </w:rPr>
        <w:t xml:space="preserve"> F(1,416)= 24.13,</w:t>
      </w:r>
      <w:r w:rsidRPr="00434349">
        <w:rPr>
          <w:rFonts w:asciiTheme="majorBidi" w:hAnsiTheme="majorBidi" w:cstheme="majorBidi"/>
        </w:rPr>
        <w:t xml:space="preserve"> </w:t>
      </w:r>
      <w:r w:rsidRPr="00413D90">
        <w:rPr>
          <w:rFonts w:asciiTheme="majorBidi" w:hAnsiTheme="majorBidi" w:cstheme="majorBidi"/>
          <w:i/>
        </w:rPr>
        <w:t>p</w:t>
      </w:r>
      <w:r w:rsidRPr="00434349">
        <w:rPr>
          <w:rFonts w:asciiTheme="majorBidi" w:hAnsiTheme="majorBidi" w:cstheme="majorBidi"/>
        </w:rPr>
        <w:t xml:space="preserve"> </w:t>
      </w:r>
      <w:r>
        <w:rPr>
          <w:rFonts w:asciiTheme="majorBidi" w:hAnsiTheme="majorBidi" w:cstheme="majorBidi"/>
        </w:rPr>
        <w:t>&lt;</w:t>
      </w:r>
      <w:r w:rsidRPr="00434349">
        <w:rPr>
          <w:rFonts w:asciiTheme="majorBidi" w:hAnsiTheme="majorBidi" w:cstheme="majorBidi"/>
        </w:rPr>
        <w:t xml:space="preserve"> .</w:t>
      </w:r>
      <w:r>
        <w:rPr>
          <w:rFonts w:asciiTheme="majorBidi" w:hAnsiTheme="majorBidi" w:cstheme="majorBidi"/>
        </w:rPr>
        <w:t>001</w:t>
      </w:r>
      <w:r w:rsidRPr="00434349">
        <w:rPr>
          <w:rFonts w:asciiTheme="majorBidi" w:hAnsiTheme="majorBidi" w:cstheme="majorBidi"/>
        </w:rPr>
        <w:t>)</w:t>
      </w:r>
      <w:r>
        <w:rPr>
          <w:rFonts w:asciiTheme="majorBidi" w:hAnsiTheme="majorBidi" w:cstheme="majorBidi"/>
        </w:rPr>
        <w:t>, but no effect of number of rounds (</w:t>
      </w:r>
      <w:r w:rsidRPr="00ED662A">
        <w:rPr>
          <w:rFonts w:asciiTheme="majorBidi" w:hAnsiTheme="majorBidi" w:cstheme="majorBidi"/>
          <w:i/>
          <w:iCs/>
        </w:rPr>
        <w:t>M</w:t>
      </w:r>
      <w:r>
        <w:rPr>
          <w:rFonts w:asciiTheme="majorBidi" w:hAnsiTheme="majorBidi" w:cstheme="majorBidi"/>
          <w:i/>
          <w:iCs/>
          <w:vertAlign w:val="subscript"/>
        </w:rPr>
        <w:t>20</w:t>
      </w:r>
      <w:r>
        <w:rPr>
          <w:rFonts w:asciiTheme="majorBidi" w:hAnsiTheme="majorBidi" w:cstheme="majorBidi"/>
        </w:rPr>
        <w:t xml:space="preserve"> = .41 vs </w:t>
      </w:r>
      <w:r w:rsidRPr="00ED662A">
        <w:rPr>
          <w:rFonts w:asciiTheme="majorBidi" w:hAnsiTheme="majorBidi" w:cstheme="majorBidi"/>
          <w:i/>
          <w:iCs/>
        </w:rPr>
        <w:t>M</w:t>
      </w:r>
      <w:r>
        <w:rPr>
          <w:rFonts w:asciiTheme="majorBidi" w:hAnsiTheme="majorBidi" w:cstheme="majorBidi"/>
          <w:i/>
          <w:iCs/>
          <w:vertAlign w:val="subscript"/>
        </w:rPr>
        <w:t>10</w:t>
      </w:r>
      <w:r>
        <w:rPr>
          <w:rFonts w:asciiTheme="majorBidi" w:hAnsiTheme="majorBidi" w:cstheme="majorBidi"/>
        </w:rPr>
        <w:t xml:space="preserve"> = .42 vs </w:t>
      </w:r>
      <w:r w:rsidRPr="00ED662A">
        <w:rPr>
          <w:rFonts w:asciiTheme="majorBidi" w:hAnsiTheme="majorBidi" w:cstheme="majorBidi"/>
          <w:i/>
          <w:iCs/>
        </w:rPr>
        <w:t>M</w:t>
      </w:r>
      <w:r>
        <w:rPr>
          <w:rFonts w:asciiTheme="majorBidi" w:hAnsiTheme="majorBidi" w:cstheme="majorBidi"/>
          <w:i/>
          <w:iCs/>
          <w:vertAlign w:val="subscript"/>
        </w:rPr>
        <w:t>5</w:t>
      </w:r>
      <w:r>
        <w:rPr>
          <w:rFonts w:asciiTheme="majorBidi" w:hAnsiTheme="majorBidi" w:cstheme="majorBidi"/>
        </w:rPr>
        <w:t xml:space="preserve"> = .36,</w:t>
      </w:r>
      <w:r w:rsidR="00772A1B">
        <w:rPr>
          <w:rFonts w:asciiTheme="majorBidi" w:hAnsiTheme="majorBidi" w:cstheme="majorBidi"/>
        </w:rPr>
        <w:t xml:space="preserve"> F(2,416)= </w:t>
      </w:r>
      <w:r w:rsidR="00E420B7">
        <w:rPr>
          <w:rFonts w:asciiTheme="majorBidi" w:hAnsiTheme="majorBidi" w:cstheme="majorBidi"/>
        </w:rPr>
        <w:t>1.64,</w:t>
      </w:r>
      <w:r w:rsidR="00772A1B">
        <w:rPr>
          <w:rFonts w:asciiTheme="majorBidi" w:hAnsiTheme="majorBidi" w:cstheme="majorBidi"/>
        </w:rPr>
        <w:t xml:space="preserve"> </w:t>
      </w:r>
      <w:r w:rsidRPr="00ED662A">
        <w:rPr>
          <w:rFonts w:asciiTheme="majorBidi" w:hAnsiTheme="majorBidi" w:cstheme="majorBidi"/>
          <w:i/>
          <w:iCs/>
        </w:rPr>
        <w:t>p</w:t>
      </w:r>
      <w:r>
        <w:rPr>
          <w:rFonts w:asciiTheme="majorBidi" w:hAnsiTheme="majorBidi" w:cstheme="majorBidi"/>
        </w:rPr>
        <w:t xml:space="preserve"> =.2). The</w:t>
      </w:r>
      <w:r w:rsidRPr="00434349">
        <w:rPr>
          <w:rFonts w:asciiTheme="majorBidi" w:hAnsiTheme="majorBidi" w:cstheme="majorBidi"/>
        </w:rPr>
        <w:t xml:space="preserve"> interaction of </w:t>
      </w:r>
      <w:r>
        <w:rPr>
          <w:rFonts w:asciiTheme="majorBidi" w:hAnsiTheme="majorBidi" w:cstheme="majorBidi"/>
        </w:rPr>
        <w:t>number of rounds</w:t>
      </w:r>
      <w:r w:rsidRPr="00434349">
        <w:rPr>
          <w:rFonts w:asciiTheme="majorBidi" w:hAnsiTheme="majorBidi" w:cstheme="majorBidi"/>
        </w:rPr>
        <w:t xml:space="preserve"> and choice structure</w:t>
      </w:r>
      <w:r>
        <w:rPr>
          <w:rFonts w:asciiTheme="majorBidi" w:hAnsiTheme="majorBidi" w:cstheme="majorBidi"/>
        </w:rPr>
        <w:t xml:space="preserve"> was </w:t>
      </w:r>
      <w:r w:rsidR="00361FD8">
        <w:rPr>
          <w:rFonts w:asciiTheme="majorBidi" w:hAnsiTheme="majorBidi" w:cstheme="majorBidi"/>
        </w:rPr>
        <w:t xml:space="preserve">also </w:t>
      </w:r>
      <w:r>
        <w:rPr>
          <w:rFonts w:asciiTheme="majorBidi" w:hAnsiTheme="majorBidi" w:cstheme="majorBidi"/>
        </w:rPr>
        <w:t>not significant (</w:t>
      </w:r>
      <w:proofErr w:type="gramStart"/>
      <w:r w:rsidRPr="007A2E74">
        <w:rPr>
          <w:rFonts w:asciiTheme="majorBidi" w:hAnsiTheme="majorBidi" w:cstheme="majorBidi"/>
          <w:i/>
          <w:iCs/>
        </w:rPr>
        <w:t>F</w:t>
      </w:r>
      <w:r>
        <w:rPr>
          <w:rFonts w:asciiTheme="majorBidi" w:hAnsiTheme="majorBidi" w:cstheme="majorBidi"/>
        </w:rPr>
        <w:t>(</w:t>
      </w:r>
      <w:proofErr w:type="gramEnd"/>
      <w:r>
        <w:rPr>
          <w:rFonts w:asciiTheme="majorBidi" w:hAnsiTheme="majorBidi" w:cstheme="majorBidi"/>
        </w:rPr>
        <w:t xml:space="preserve">2,416) = .08 , </w:t>
      </w:r>
      <w:r w:rsidRPr="007A2E74">
        <w:rPr>
          <w:rFonts w:asciiTheme="majorBidi" w:hAnsiTheme="majorBidi" w:cstheme="majorBidi"/>
          <w:i/>
          <w:iCs/>
        </w:rPr>
        <w:t>p</w:t>
      </w:r>
      <w:r>
        <w:rPr>
          <w:rFonts w:asciiTheme="majorBidi" w:hAnsiTheme="majorBidi" w:cstheme="majorBidi"/>
        </w:rPr>
        <w:t xml:space="preserve"> = .93)</w:t>
      </w:r>
      <w:r w:rsidRPr="00434349">
        <w:rPr>
          <w:rFonts w:asciiTheme="majorBidi" w:hAnsiTheme="majorBidi" w:cstheme="majorBidi"/>
        </w:rPr>
        <w:t xml:space="preserve">. As seen in </w:t>
      </w:r>
      <w:r>
        <w:rPr>
          <w:rFonts w:asciiTheme="majorBidi" w:hAnsiTheme="majorBidi" w:cstheme="majorBidi"/>
        </w:rPr>
        <w:t>F</w:t>
      </w:r>
      <w:r w:rsidRPr="00434349">
        <w:rPr>
          <w:rFonts w:asciiTheme="majorBidi" w:hAnsiTheme="majorBidi" w:cstheme="majorBidi"/>
        </w:rPr>
        <w:t xml:space="preserve">igure </w:t>
      </w:r>
      <w:r w:rsidR="00CF4061">
        <w:rPr>
          <w:rFonts w:asciiTheme="majorBidi" w:hAnsiTheme="majorBidi" w:cstheme="majorBidi"/>
        </w:rPr>
        <w:t>3,</w:t>
      </w:r>
      <w:r w:rsidRPr="00434349">
        <w:rPr>
          <w:rFonts w:asciiTheme="majorBidi" w:hAnsiTheme="majorBidi" w:cstheme="majorBidi"/>
        </w:rPr>
        <w:t xml:space="preserve"> </w:t>
      </w:r>
      <w:r>
        <w:rPr>
          <w:rFonts w:asciiTheme="majorBidi" w:hAnsiTheme="majorBidi" w:cstheme="majorBidi"/>
        </w:rPr>
        <w:t>precommitment is equally effective regardless of the number of rounds participants played in each block.</w:t>
      </w:r>
    </w:p>
    <w:p w14:paraId="35C31D29" w14:textId="1536FA53" w:rsidR="00D32092" w:rsidRPr="00D32092" w:rsidRDefault="00D32092" w:rsidP="007F39CB">
      <w:pPr>
        <w:spacing w:line="480" w:lineRule="auto"/>
        <w:rPr>
          <w:rFonts w:asciiTheme="majorBidi" w:hAnsiTheme="majorBidi" w:cstheme="majorBidi"/>
          <w:i/>
          <w:iCs/>
        </w:rPr>
      </w:pPr>
      <w:r w:rsidRPr="00D32092">
        <w:rPr>
          <w:rFonts w:asciiTheme="majorBidi" w:hAnsiTheme="majorBidi" w:cstheme="majorBidi"/>
          <w:i/>
          <w:iCs/>
        </w:rPr>
        <w:t xml:space="preserve">Figure 3. Proportion of safe choices in Study 3, as a function of whether choices were precommitted or not, and whether the block had 20 rounds, 10 rounds, or 5 rounds. Error bars show +/- one standard error. </w:t>
      </w:r>
    </w:p>
    <w:p w14:paraId="3CD2BB16" w14:textId="32EBC2CA" w:rsidR="007F39CB" w:rsidRDefault="007F39CB" w:rsidP="00CF4061">
      <w:pPr>
        <w:spacing w:line="480" w:lineRule="auto"/>
        <w:rPr>
          <w:rFonts w:asciiTheme="majorBidi" w:hAnsiTheme="majorBidi" w:cstheme="majorBidi"/>
        </w:rPr>
      </w:pPr>
      <w:r>
        <w:rPr>
          <w:noProof/>
        </w:rPr>
        <w:lastRenderedPageBreak/>
        <w:drawing>
          <wp:inline distT="0" distB="0" distL="0" distR="0" wp14:anchorId="2F2FFF11" wp14:editId="63B0E96D">
            <wp:extent cx="6194066" cy="3093057"/>
            <wp:effectExtent l="0" t="0" r="16510" b="12700"/>
            <wp:docPr id="7" name="Chart 7">
              <a:extLst xmlns:a="http://schemas.openxmlformats.org/drawingml/2006/main">
                <a:ext uri="{FF2B5EF4-FFF2-40B4-BE49-F238E27FC236}">
                  <a16:creationId xmlns:a16="http://schemas.microsoft.com/office/drawing/2014/main" id="{92F00C50-7517-4B4F-862C-1EB92A7715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7F2764" w14:textId="1795D576" w:rsidR="007F39CB" w:rsidRPr="00434349" w:rsidRDefault="007F39CB" w:rsidP="007F39CB">
      <w:pPr>
        <w:spacing w:after="160" w:line="480" w:lineRule="auto"/>
        <w:rPr>
          <w:rFonts w:asciiTheme="majorBidi" w:eastAsia="Calibri" w:hAnsiTheme="majorBidi" w:cstheme="majorBidi"/>
          <w:i/>
          <w:iCs/>
          <w:lang w:val="en-CA"/>
        </w:rPr>
      </w:pPr>
      <w:r w:rsidRPr="00434349">
        <w:rPr>
          <w:rFonts w:asciiTheme="majorBidi" w:eastAsia="Calibri" w:hAnsiTheme="majorBidi" w:cstheme="majorBidi"/>
          <w:i/>
          <w:iCs/>
          <w:lang w:val="en-CA"/>
        </w:rPr>
        <w:t xml:space="preserve">Study </w:t>
      </w:r>
      <w:r w:rsidR="003C2ABB">
        <w:rPr>
          <w:rFonts w:asciiTheme="majorBidi" w:eastAsia="Calibri" w:hAnsiTheme="majorBidi" w:cstheme="majorBidi"/>
          <w:i/>
          <w:iCs/>
          <w:lang w:val="en-CA"/>
        </w:rPr>
        <w:t>3</w:t>
      </w:r>
      <w:r w:rsidRPr="00434349">
        <w:rPr>
          <w:rFonts w:asciiTheme="majorBidi" w:eastAsia="Calibri" w:hAnsiTheme="majorBidi" w:cstheme="majorBidi"/>
          <w:i/>
          <w:iCs/>
          <w:lang w:val="en-CA"/>
        </w:rPr>
        <w:t>: Discussion</w:t>
      </w:r>
    </w:p>
    <w:p w14:paraId="3C16E48C" w14:textId="4C8EDCB3" w:rsidR="007F39CB" w:rsidRDefault="007F39CB" w:rsidP="00CF7FA4">
      <w:pPr>
        <w:spacing w:after="160" w:line="480" w:lineRule="auto"/>
        <w:rPr>
          <w:rFonts w:asciiTheme="majorBidi" w:eastAsia="Calibri" w:hAnsiTheme="majorBidi" w:cstheme="majorBidi"/>
          <w:lang w:val="en-CA"/>
        </w:rPr>
      </w:pPr>
      <w:r>
        <w:rPr>
          <w:rFonts w:asciiTheme="majorBidi" w:eastAsia="Calibri" w:hAnsiTheme="majorBidi" w:cstheme="majorBidi"/>
          <w:lang w:val="en-CA"/>
        </w:rPr>
        <w:tab/>
        <w:t>T</w:t>
      </w:r>
      <w:r w:rsidRPr="00434349">
        <w:rPr>
          <w:rFonts w:asciiTheme="majorBidi" w:eastAsia="Calibri" w:hAnsiTheme="majorBidi" w:cstheme="majorBidi"/>
          <w:lang w:val="en-CA"/>
        </w:rPr>
        <w:t>he effect of precommitment was replicated such that individuals who precommi</w:t>
      </w:r>
      <w:r w:rsidR="00645B94">
        <w:rPr>
          <w:rFonts w:asciiTheme="majorBidi" w:eastAsia="Calibri" w:hAnsiTheme="majorBidi" w:cstheme="majorBidi"/>
          <w:lang w:val="en-CA"/>
        </w:rPr>
        <w:t>t</w:t>
      </w:r>
      <w:r w:rsidRPr="00434349">
        <w:rPr>
          <w:rFonts w:asciiTheme="majorBidi" w:eastAsia="Calibri" w:hAnsiTheme="majorBidi" w:cstheme="majorBidi"/>
          <w:lang w:val="en-CA"/>
        </w:rPr>
        <w:t xml:space="preserve">ted their choices </w:t>
      </w:r>
      <w:r>
        <w:rPr>
          <w:rFonts w:asciiTheme="majorBidi" w:eastAsia="Calibri" w:hAnsiTheme="majorBidi" w:cstheme="majorBidi"/>
          <w:lang w:val="en-CA"/>
        </w:rPr>
        <w:t>chose</w:t>
      </w:r>
      <w:r w:rsidRPr="00434349">
        <w:rPr>
          <w:rFonts w:asciiTheme="majorBidi" w:eastAsia="Calibri" w:hAnsiTheme="majorBidi" w:cstheme="majorBidi"/>
          <w:lang w:val="en-CA"/>
        </w:rPr>
        <w:t xml:space="preserve"> the safer option </w:t>
      </w:r>
      <w:r>
        <w:rPr>
          <w:rFonts w:asciiTheme="majorBidi" w:eastAsia="Calibri" w:hAnsiTheme="majorBidi" w:cstheme="majorBidi"/>
          <w:lang w:val="en-CA"/>
        </w:rPr>
        <w:t xml:space="preserve">more often </w:t>
      </w:r>
      <w:r w:rsidRPr="00434349">
        <w:rPr>
          <w:rFonts w:asciiTheme="majorBidi" w:eastAsia="Calibri" w:hAnsiTheme="majorBidi" w:cstheme="majorBidi"/>
          <w:lang w:val="en-CA"/>
        </w:rPr>
        <w:t>than those who made their choices round-by-round</w:t>
      </w:r>
      <w:r w:rsidR="00CF7FA4">
        <w:rPr>
          <w:rFonts w:asciiTheme="majorBidi" w:eastAsia="Calibri" w:hAnsiTheme="majorBidi" w:cstheme="majorBidi"/>
          <w:lang w:val="en-CA"/>
        </w:rPr>
        <w:t xml:space="preserve"> (supporting H1)</w:t>
      </w:r>
      <w:r w:rsidRPr="00434349">
        <w:rPr>
          <w:rFonts w:asciiTheme="majorBidi" w:eastAsia="Calibri" w:hAnsiTheme="majorBidi" w:cstheme="majorBidi"/>
          <w:lang w:val="en-CA"/>
        </w:rPr>
        <w:t xml:space="preserve">. </w:t>
      </w:r>
      <w:r>
        <w:rPr>
          <w:rFonts w:asciiTheme="majorBidi" w:eastAsia="Calibri" w:hAnsiTheme="majorBidi" w:cstheme="majorBidi"/>
          <w:lang w:val="en-CA"/>
        </w:rPr>
        <w:t xml:space="preserve">Moreover, decreasing the number of rounds did not have any effect on the choice of safe option or on the effect of precommitment on the choice of safe option. </w:t>
      </w:r>
      <w:r w:rsidR="00CF7FA4">
        <w:rPr>
          <w:rFonts w:asciiTheme="majorBidi" w:eastAsia="Calibri" w:hAnsiTheme="majorBidi" w:cstheme="majorBidi"/>
          <w:lang w:val="en-CA"/>
        </w:rPr>
        <w:t xml:space="preserve">This is consistent with the idea that precommitment leads to planning and multiple goals (both single round outcome and cumulative outcome), but inconsistent with the theory that precommitment leads to higher cumulative probability perceptions. Furthermore, the observed pattern of results demonstrates the robustness of the precommitment effect, showing that it </w:t>
      </w:r>
      <w:r>
        <w:rPr>
          <w:rFonts w:asciiTheme="majorBidi" w:eastAsia="Calibri" w:hAnsiTheme="majorBidi" w:cstheme="majorBidi"/>
          <w:lang w:val="en-CA"/>
        </w:rPr>
        <w:t xml:space="preserve">is effective, even when the </w:t>
      </w:r>
      <w:r w:rsidR="00CF7FA4">
        <w:rPr>
          <w:rFonts w:asciiTheme="majorBidi" w:eastAsia="Calibri" w:hAnsiTheme="majorBidi" w:cstheme="majorBidi"/>
          <w:lang w:val="en-CA"/>
        </w:rPr>
        <w:t>timeframe</w:t>
      </w:r>
      <w:r>
        <w:rPr>
          <w:rFonts w:asciiTheme="majorBidi" w:eastAsia="Calibri" w:hAnsiTheme="majorBidi" w:cstheme="majorBidi"/>
          <w:lang w:val="en-CA"/>
        </w:rPr>
        <w:t xml:space="preserve"> is </w:t>
      </w:r>
      <w:r w:rsidR="00CF7FA4">
        <w:rPr>
          <w:rFonts w:asciiTheme="majorBidi" w:eastAsia="Calibri" w:hAnsiTheme="majorBidi" w:cstheme="majorBidi"/>
          <w:lang w:val="en-CA"/>
        </w:rPr>
        <w:t xml:space="preserve">somewhat </w:t>
      </w:r>
      <w:r>
        <w:rPr>
          <w:rFonts w:asciiTheme="majorBidi" w:eastAsia="Calibri" w:hAnsiTheme="majorBidi" w:cstheme="majorBidi"/>
          <w:lang w:val="en-CA"/>
        </w:rPr>
        <w:t xml:space="preserve">short. </w:t>
      </w:r>
    </w:p>
    <w:p w14:paraId="7B183BB8" w14:textId="77777777" w:rsidR="003C2ABB" w:rsidRDefault="003C2ABB" w:rsidP="003C2ABB">
      <w:pPr>
        <w:spacing w:line="480" w:lineRule="auto"/>
        <w:jc w:val="center"/>
        <w:rPr>
          <w:rFonts w:ascii="Times New Roman" w:hAnsi="Times New Roman"/>
          <w:i/>
          <w:iCs/>
        </w:rPr>
      </w:pPr>
    </w:p>
    <w:p w14:paraId="1C23FC92" w14:textId="4B64F502" w:rsidR="003C2ABB" w:rsidRDefault="003C2ABB" w:rsidP="003C2ABB">
      <w:pPr>
        <w:spacing w:line="480" w:lineRule="auto"/>
        <w:jc w:val="center"/>
        <w:rPr>
          <w:rFonts w:ascii="Times New Roman" w:hAnsi="Times New Roman"/>
          <w:i/>
          <w:iCs/>
        </w:rPr>
      </w:pPr>
      <w:r>
        <w:rPr>
          <w:rFonts w:ascii="Times New Roman" w:hAnsi="Times New Roman"/>
          <w:i/>
          <w:iCs/>
        </w:rPr>
        <w:t>Study 4: Binding vs non-binding precommitment</w:t>
      </w:r>
    </w:p>
    <w:p w14:paraId="2B9D1AF9" w14:textId="3FACA698" w:rsidR="003C2ABB" w:rsidRDefault="003C2ABB" w:rsidP="003C2ABB">
      <w:pPr>
        <w:spacing w:line="480" w:lineRule="auto"/>
        <w:rPr>
          <w:rFonts w:ascii="Times New Roman" w:hAnsi="Times New Roman"/>
        </w:rPr>
      </w:pPr>
      <w:r>
        <w:rPr>
          <w:rFonts w:ascii="Times New Roman" w:hAnsi="Times New Roman"/>
        </w:rPr>
        <w:lastRenderedPageBreak/>
        <w:tab/>
      </w:r>
      <w:r w:rsidR="003E34D8">
        <w:rPr>
          <w:rFonts w:ascii="Times New Roman" w:hAnsi="Times New Roman"/>
        </w:rPr>
        <w:t xml:space="preserve">In this study, we introduce the “non-binding” precommitment nudge, and compare it with “binding” precommitment (which was used in previous studies), as well as repeated-choice control. </w:t>
      </w:r>
      <w:r>
        <w:rPr>
          <w:rFonts w:ascii="Times New Roman" w:hAnsi="Times New Roman"/>
        </w:rPr>
        <w:t>The purpose of this study is two-fold. First, i</w:t>
      </w:r>
      <w:r w:rsidR="006924B2">
        <w:rPr>
          <w:rFonts w:ascii="Times New Roman" w:hAnsi="Times New Roman"/>
        </w:rPr>
        <w:t>t</w:t>
      </w:r>
      <w:r>
        <w:rPr>
          <w:rFonts w:ascii="Times New Roman" w:hAnsi="Times New Roman"/>
        </w:rPr>
        <w:t xml:space="preserve"> addresses (real-world motivated) situations in which participants may change their choices after initial commitment. Second, it further sharpens our understanding of the process underlying the precommitment effect, by testing whether it is driven mainly by the fact of being forced to consider all choices in advance, or driven by the fact that once committed, choices cannot be changed and therefore the participant cannot respond to round-by-round feedback. </w:t>
      </w:r>
    </w:p>
    <w:p w14:paraId="45208332" w14:textId="4913CC71" w:rsidR="003C2ABB" w:rsidRPr="00195316" w:rsidRDefault="003C2ABB" w:rsidP="003C2ABB">
      <w:pPr>
        <w:spacing w:line="480" w:lineRule="auto"/>
        <w:rPr>
          <w:rFonts w:ascii="Times New Roman" w:hAnsi="Times New Roman"/>
          <w:i/>
          <w:iCs/>
        </w:rPr>
      </w:pPr>
      <w:r w:rsidRPr="00195316">
        <w:rPr>
          <w:rFonts w:ascii="Times New Roman" w:hAnsi="Times New Roman"/>
          <w:i/>
          <w:iCs/>
        </w:rPr>
        <w:t xml:space="preserve">Study </w:t>
      </w:r>
      <w:r>
        <w:rPr>
          <w:rFonts w:ascii="Times New Roman" w:hAnsi="Times New Roman"/>
          <w:i/>
          <w:iCs/>
        </w:rPr>
        <w:t>4</w:t>
      </w:r>
      <w:r w:rsidRPr="00195316">
        <w:rPr>
          <w:rFonts w:ascii="Times New Roman" w:hAnsi="Times New Roman"/>
          <w:i/>
          <w:iCs/>
        </w:rPr>
        <w:t xml:space="preserve">: </w:t>
      </w:r>
      <w:r>
        <w:rPr>
          <w:rFonts w:ascii="Times New Roman" w:hAnsi="Times New Roman"/>
          <w:i/>
          <w:iCs/>
        </w:rPr>
        <w:t>Methods</w:t>
      </w:r>
    </w:p>
    <w:p w14:paraId="0B55EC9C" w14:textId="14183570" w:rsidR="003C2ABB" w:rsidRDefault="003C2ABB" w:rsidP="003C2ABB">
      <w:pPr>
        <w:spacing w:line="480" w:lineRule="auto"/>
        <w:rPr>
          <w:rFonts w:ascii="Times New Roman" w:hAnsi="Times New Roman"/>
        </w:rPr>
      </w:pPr>
      <w:r>
        <w:rPr>
          <w:rFonts w:ascii="Times New Roman" w:hAnsi="Times New Roman"/>
        </w:rPr>
        <w:tab/>
        <w:t>We used a one-factor (Choice structure: Repeated vs. Precommit</w:t>
      </w:r>
      <w:r w:rsidR="00645B94">
        <w:rPr>
          <w:rFonts w:ascii="Times New Roman" w:hAnsi="Times New Roman"/>
        </w:rPr>
        <w:t>t</w:t>
      </w:r>
      <w:r>
        <w:rPr>
          <w:rFonts w:ascii="Times New Roman" w:hAnsi="Times New Roman"/>
        </w:rPr>
        <w:t>ed vs. Non-binding precommit</w:t>
      </w:r>
      <w:r w:rsidR="00645B94">
        <w:rPr>
          <w:rFonts w:ascii="Times New Roman" w:hAnsi="Times New Roman"/>
        </w:rPr>
        <w:t>t</w:t>
      </w:r>
      <w:r>
        <w:rPr>
          <w:rFonts w:ascii="Times New Roman" w:hAnsi="Times New Roman"/>
        </w:rPr>
        <w:t>ed) between-participants design. Participants were 210 (48.6% female</w:t>
      </w:r>
      <w:r w:rsidR="00230C53">
        <w:rPr>
          <w:rFonts w:ascii="Times New Roman" w:hAnsi="Times New Roman"/>
        </w:rPr>
        <w:t>, M</w:t>
      </w:r>
      <w:r w:rsidR="00230C53">
        <w:rPr>
          <w:rFonts w:ascii="Times New Roman" w:hAnsi="Times New Roman"/>
          <w:vertAlign w:val="subscript"/>
        </w:rPr>
        <w:t xml:space="preserve">age </w:t>
      </w:r>
      <w:r w:rsidR="00230C53">
        <w:rPr>
          <w:rFonts w:ascii="Times New Roman" w:hAnsi="Times New Roman"/>
        </w:rPr>
        <w:t>= 36.8</w:t>
      </w:r>
      <w:r>
        <w:rPr>
          <w:rFonts w:ascii="Times New Roman" w:hAnsi="Times New Roman"/>
        </w:rPr>
        <w:t xml:space="preserve">) users of Amazon’s mechanical Turk who received a fixed monetary compensation for their participation. </w:t>
      </w:r>
    </w:p>
    <w:p w14:paraId="7A62CF2C" w14:textId="3D6364A9" w:rsidR="003C2ABB" w:rsidRDefault="003C2ABB" w:rsidP="003C2ABB">
      <w:pPr>
        <w:spacing w:line="480" w:lineRule="auto"/>
        <w:rPr>
          <w:rFonts w:ascii="Times New Roman" w:hAnsi="Times New Roman"/>
        </w:rPr>
      </w:pPr>
      <w:r>
        <w:rPr>
          <w:rFonts w:ascii="Times New Roman" w:hAnsi="Times New Roman"/>
        </w:rPr>
        <w:tab/>
        <w:t xml:space="preserve">The repeated and </w:t>
      </w:r>
      <w:r w:rsidR="00132E66">
        <w:rPr>
          <w:rFonts w:ascii="Times New Roman" w:hAnsi="Times New Roman"/>
        </w:rPr>
        <w:t xml:space="preserve">binding </w:t>
      </w:r>
      <w:r>
        <w:rPr>
          <w:rFonts w:ascii="Times New Roman" w:hAnsi="Times New Roman"/>
        </w:rPr>
        <w:t>precommit</w:t>
      </w:r>
      <w:r w:rsidR="00132E66">
        <w:rPr>
          <w:rFonts w:ascii="Times New Roman" w:hAnsi="Times New Roman"/>
        </w:rPr>
        <w:t>ment</w:t>
      </w:r>
      <w:r>
        <w:rPr>
          <w:rFonts w:ascii="Times New Roman" w:hAnsi="Times New Roman"/>
        </w:rPr>
        <w:t xml:space="preserve"> conditions were the same as previous studies. In the non-binding precommitment condition, the participants learned that they would precommit their choices, and also that they would return to the choice page after each round and have the opportunity to change their current and future choices if they wished. </w:t>
      </w:r>
      <w:r w:rsidR="00381ED1">
        <w:rPr>
          <w:rFonts w:ascii="Times New Roman" w:hAnsi="Times New Roman"/>
        </w:rPr>
        <w:t>Indeed, participants had the opportunity to change their current and future choices after each round. Thus, the feedback timing was identical in the repeated condition and</w:t>
      </w:r>
      <w:r w:rsidR="00C40E99">
        <w:rPr>
          <w:rFonts w:ascii="Times New Roman" w:hAnsi="Times New Roman"/>
        </w:rPr>
        <w:t xml:space="preserve"> non-binding</w:t>
      </w:r>
      <w:r w:rsidR="00381ED1">
        <w:rPr>
          <w:rFonts w:ascii="Times New Roman" w:hAnsi="Times New Roman"/>
        </w:rPr>
        <w:t xml:space="preserve"> pre-commitment condition; in both cases, participants received feedback after every round and had the opportunity to make a different choice in the next round. After the game,</w:t>
      </w:r>
      <w:r>
        <w:rPr>
          <w:rFonts w:ascii="Times New Roman" w:hAnsi="Times New Roman"/>
        </w:rPr>
        <w:t xml:space="preserve"> the participants completed demographic questions.</w:t>
      </w:r>
    </w:p>
    <w:p w14:paraId="3BB2B529" w14:textId="48D50EB3" w:rsidR="003C2ABB" w:rsidRPr="00195316" w:rsidRDefault="003C2ABB" w:rsidP="003C2ABB">
      <w:pPr>
        <w:spacing w:line="480" w:lineRule="auto"/>
        <w:rPr>
          <w:rFonts w:ascii="Times New Roman" w:hAnsi="Times New Roman"/>
          <w:i/>
          <w:iCs/>
        </w:rPr>
      </w:pPr>
      <w:r w:rsidRPr="00195316">
        <w:rPr>
          <w:rFonts w:ascii="Times New Roman" w:hAnsi="Times New Roman"/>
          <w:i/>
          <w:iCs/>
        </w:rPr>
        <w:lastRenderedPageBreak/>
        <w:t xml:space="preserve">Study </w:t>
      </w:r>
      <w:r>
        <w:rPr>
          <w:rFonts w:ascii="Times New Roman" w:hAnsi="Times New Roman"/>
          <w:i/>
          <w:iCs/>
        </w:rPr>
        <w:t>4</w:t>
      </w:r>
      <w:r w:rsidRPr="00195316">
        <w:rPr>
          <w:rFonts w:ascii="Times New Roman" w:hAnsi="Times New Roman"/>
          <w:i/>
          <w:iCs/>
        </w:rPr>
        <w:t>: Results</w:t>
      </w:r>
    </w:p>
    <w:p w14:paraId="41BF77D7" w14:textId="005AFDD2" w:rsidR="00B43C5C" w:rsidRDefault="003C2ABB" w:rsidP="00B43C5C">
      <w:pPr>
        <w:spacing w:line="480" w:lineRule="auto"/>
        <w:rPr>
          <w:rFonts w:ascii="Times New Roman" w:hAnsi="Times New Roman"/>
        </w:rPr>
      </w:pPr>
      <w:r>
        <w:rPr>
          <w:rFonts w:ascii="Times New Roman" w:hAnsi="Times New Roman"/>
        </w:rPr>
        <w:tab/>
      </w:r>
      <w:r w:rsidR="00226977">
        <w:rPr>
          <w:rFonts w:ascii="Times New Roman" w:hAnsi="Times New Roman"/>
        </w:rPr>
        <w:t xml:space="preserve">As seen in </w:t>
      </w:r>
      <w:r w:rsidR="00DB0CC9">
        <w:rPr>
          <w:rFonts w:ascii="Times New Roman" w:hAnsi="Times New Roman"/>
        </w:rPr>
        <w:t xml:space="preserve">Figure 4, </w:t>
      </w:r>
      <w:r w:rsidR="00B43C5C">
        <w:rPr>
          <w:rFonts w:ascii="Times New Roman" w:hAnsi="Times New Roman"/>
        </w:rPr>
        <w:t>participants made safer choices when they precommitted their choices</w:t>
      </w:r>
      <w:r w:rsidR="002903A1">
        <w:rPr>
          <w:rFonts w:ascii="Times New Roman" w:hAnsi="Times New Roman"/>
        </w:rPr>
        <w:t xml:space="preserve"> (supporting H1)</w:t>
      </w:r>
      <w:r w:rsidR="00B43C5C">
        <w:rPr>
          <w:rFonts w:ascii="Times New Roman" w:hAnsi="Times New Roman"/>
        </w:rPr>
        <w:t xml:space="preserve">, regardless of whether that precommitment was binding or non-binding. Although the effect of non-binding precommitment looks a bit weaker, the difference between binding and non-binding precommitment is not significant. Nonetheless, it seems plausible that non-binding precommitment would be weaker, and we suspect that </w:t>
      </w:r>
      <w:r w:rsidR="00C44C72">
        <w:rPr>
          <w:rFonts w:ascii="Times New Roman" w:hAnsi="Times New Roman"/>
        </w:rPr>
        <w:t xml:space="preserve">a significant difference would emerge with adequate power. </w:t>
      </w:r>
    </w:p>
    <w:p w14:paraId="51DCA835" w14:textId="05BB6CCA" w:rsidR="003C2ABB" w:rsidRDefault="00230C53" w:rsidP="00C44C72">
      <w:pPr>
        <w:spacing w:line="480" w:lineRule="auto"/>
        <w:ind w:firstLine="720"/>
        <w:rPr>
          <w:rFonts w:ascii="Times New Roman" w:hAnsi="Times New Roman"/>
        </w:rPr>
      </w:pPr>
      <w:r>
        <w:rPr>
          <w:rFonts w:ascii="Times New Roman" w:hAnsi="Times New Roman"/>
        </w:rPr>
        <w:t xml:space="preserve">A 3 (choice structure: Repeated vs. </w:t>
      </w:r>
      <w:r w:rsidR="001961EA">
        <w:rPr>
          <w:rFonts w:ascii="Times New Roman" w:hAnsi="Times New Roman"/>
        </w:rPr>
        <w:t>Binding-p</w:t>
      </w:r>
      <w:r>
        <w:rPr>
          <w:rFonts w:ascii="Times New Roman" w:hAnsi="Times New Roman"/>
        </w:rPr>
        <w:t>recommit</w:t>
      </w:r>
      <w:r w:rsidR="00645B94">
        <w:rPr>
          <w:rFonts w:ascii="Times New Roman" w:hAnsi="Times New Roman"/>
        </w:rPr>
        <w:t>t</w:t>
      </w:r>
      <w:r>
        <w:rPr>
          <w:rFonts w:ascii="Times New Roman" w:hAnsi="Times New Roman"/>
        </w:rPr>
        <w:t>ed vs. Non-binding precommit</w:t>
      </w:r>
      <w:r w:rsidR="00645B94">
        <w:rPr>
          <w:rFonts w:ascii="Times New Roman" w:hAnsi="Times New Roman"/>
        </w:rPr>
        <w:t>t</w:t>
      </w:r>
      <w:r>
        <w:rPr>
          <w:rFonts w:ascii="Times New Roman" w:hAnsi="Times New Roman"/>
        </w:rPr>
        <w:t>ed) by 4 (blocks) repeated-measures ANOVA revealed a significant omnibus effect of choice structure (</w:t>
      </w:r>
      <w:proofErr w:type="gramStart"/>
      <w:r>
        <w:rPr>
          <w:rFonts w:ascii="Times New Roman" w:hAnsi="Times New Roman"/>
        </w:rPr>
        <w:t>F(</w:t>
      </w:r>
      <w:proofErr w:type="gramEnd"/>
      <w:r>
        <w:rPr>
          <w:rFonts w:ascii="Times New Roman" w:hAnsi="Times New Roman"/>
        </w:rPr>
        <w:t xml:space="preserve">2,207)= 5.80, </w:t>
      </w:r>
      <w:r w:rsidRPr="00230C53">
        <w:rPr>
          <w:rFonts w:ascii="Times New Roman" w:hAnsi="Times New Roman"/>
          <w:i/>
          <w:iCs/>
        </w:rPr>
        <w:t>p</w:t>
      </w:r>
      <w:r>
        <w:rPr>
          <w:rFonts w:ascii="Times New Roman" w:hAnsi="Times New Roman"/>
        </w:rPr>
        <w:t>= .004). A follow-up LSD post-hoc test indicated that i</w:t>
      </w:r>
      <w:r w:rsidR="003C2ABB">
        <w:rPr>
          <w:rFonts w:ascii="Times New Roman" w:hAnsi="Times New Roman"/>
        </w:rPr>
        <w:t>nvestment in the safer option in the non-binding precommitment condition (</w:t>
      </w:r>
      <w:proofErr w:type="spellStart"/>
      <w:r w:rsidR="003C2ABB" w:rsidRPr="00195316">
        <w:rPr>
          <w:rFonts w:ascii="Times New Roman" w:hAnsi="Times New Roman"/>
          <w:i/>
          <w:iCs/>
        </w:rPr>
        <w:t>M</w:t>
      </w:r>
      <w:r w:rsidR="003C2ABB" w:rsidRPr="00195316">
        <w:rPr>
          <w:rFonts w:ascii="Times New Roman" w:hAnsi="Times New Roman"/>
          <w:i/>
          <w:iCs/>
          <w:vertAlign w:val="subscript"/>
        </w:rPr>
        <w:t>non</w:t>
      </w:r>
      <w:proofErr w:type="spellEnd"/>
      <w:r w:rsidR="003C2ABB">
        <w:rPr>
          <w:rFonts w:ascii="Times New Roman" w:hAnsi="Times New Roman"/>
          <w:vertAlign w:val="subscript"/>
        </w:rPr>
        <w:t xml:space="preserve"> </w:t>
      </w:r>
      <w:r w:rsidR="003C2ABB">
        <w:rPr>
          <w:rFonts w:ascii="Times New Roman" w:hAnsi="Times New Roman"/>
        </w:rPr>
        <w:t xml:space="preserve">= .43, </w:t>
      </w:r>
      <w:r w:rsidR="003C2ABB" w:rsidRPr="00195316">
        <w:rPr>
          <w:rFonts w:ascii="Times New Roman" w:hAnsi="Times New Roman"/>
          <w:i/>
          <w:iCs/>
        </w:rPr>
        <w:t>SE</w:t>
      </w:r>
      <w:r w:rsidR="003C2ABB">
        <w:rPr>
          <w:rFonts w:ascii="Times New Roman" w:hAnsi="Times New Roman"/>
        </w:rPr>
        <w:t>= .04) was roughly as high as in the standard precommitment condition (</w:t>
      </w:r>
      <w:proofErr w:type="spellStart"/>
      <w:r w:rsidR="003C2ABB" w:rsidRPr="00195316">
        <w:rPr>
          <w:rFonts w:ascii="Times New Roman" w:hAnsi="Times New Roman"/>
          <w:i/>
          <w:iCs/>
        </w:rPr>
        <w:t>M</w:t>
      </w:r>
      <w:r w:rsidR="003C2ABB" w:rsidRPr="00195316">
        <w:rPr>
          <w:rFonts w:ascii="Times New Roman" w:hAnsi="Times New Roman"/>
          <w:i/>
          <w:iCs/>
          <w:vertAlign w:val="subscript"/>
        </w:rPr>
        <w:t>pre</w:t>
      </w:r>
      <w:proofErr w:type="spellEnd"/>
      <w:r w:rsidR="003C2ABB" w:rsidRPr="00195316">
        <w:rPr>
          <w:rFonts w:ascii="Times New Roman" w:hAnsi="Times New Roman"/>
          <w:i/>
          <w:iCs/>
          <w:vertAlign w:val="subscript"/>
        </w:rPr>
        <w:t xml:space="preserve"> </w:t>
      </w:r>
      <w:r w:rsidR="003C2ABB">
        <w:rPr>
          <w:rFonts w:ascii="Times New Roman" w:hAnsi="Times New Roman"/>
        </w:rPr>
        <w:t>= .4</w:t>
      </w:r>
      <w:r w:rsidR="00D7694B">
        <w:rPr>
          <w:rFonts w:ascii="Times New Roman" w:hAnsi="Times New Roman"/>
        </w:rPr>
        <w:t>8</w:t>
      </w:r>
      <w:r w:rsidR="003C2ABB">
        <w:rPr>
          <w:rFonts w:ascii="Times New Roman" w:hAnsi="Times New Roman"/>
        </w:rPr>
        <w:t xml:space="preserve">, </w:t>
      </w:r>
      <w:r w:rsidR="003C2ABB" w:rsidRPr="00195316">
        <w:rPr>
          <w:rFonts w:ascii="Times New Roman" w:hAnsi="Times New Roman"/>
          <w:i/>
          <w:iCs/>
        </w:rPr>
        <w:t>SE</w:t>
      </w:r>
      <w:r w:rsidR="003C2ABB">
        <w:rPr>
          <w:rFonts w:ascii="Times New Roman" w:hAnsi="Times New Roman"/>
        </w:rPr>
        <w:t xml:space="preserve">= .04, </w:t>
      </w:r>
      <w:r w:rsidR="003C2ABB" w:rsidRPr="00195316">
        <w:rPr>
          <w:rFonts w:ascii="Times New Roman" w:hAnsi="Times New Roman"/>
          <w:i/>
          <w:iCs/>
        </w:rPr>
        <w:t>p</w:t>
      </w:r>
      <w:r w:rsidR="003C2ABB">
        <w:rPr>
          <w:rFonts w:ascii="Times New Roman" w:hAnsi="Times New Roman"/>
        </w:rPr>
        <w:t xml:space="preserve"> = .37). Investment rates in the repeated condition (</w:t>
      </w:r>
      <w:proofErr w:type="spellStart"/>
      <w:r w:rsidR="003C2ABB" w:rsidRPr="00195316">
        <w:rPr>
          <w:rFonts w:ascii="Times New Roman" w:hAnsi="Times New Roman"/>
          <w:i/>
          <w:iCs/>
        </w:rPr>
        <w:t>M</w:t>
      </w:r>
      <w:r w:rsidR="003C2ABB" w:rsidRPr="00195316">
        <w:rPr>
          <w:rFonts w:ascii="Times New Roman" w:hAnsi="Times New Roman"/>
          <w:i/>
          <w:iCs/>
          <w:vertAlign w:val="subscript"/>
        </w:rPr>
        <w:t>rep</w:t>
      </w:r>
      <w:proofErr w:type="spellEnd"/>
      <w:r w:rsidR="003C2ABB">
        <w:rPr>
          <w:rFonts w:ascii="Times New Roman" w:hAnsi="Times New Roman"/>
          <w:vertAlign w:val="subscript"/>
        </w:rPr>
        <w:t xml:space="preserve"> </w:t>
      </w:r>
      <w:r w:rsidR="003C2ABB">
        <w:rPr>
          <w:rFonts w:ascii="Times New Roman" w:hAnsi="Times New Roman"/>
        </w:rPr>
        <w:t xml:space="preserve">= .30, </w:t>
      </w:r>
      <w:r w:rsidR="003C2ABB" w:rsidRPr="00195316">
        <w:rPr>
          <w:rFonts w:ascii="Times New Roman" w:hAnsi="Times New Roman"/>
          <w:i/>
          <w:iCs/>
        </w:rPr>
        <w:t>SE</w:t>
      </w:r>
      <w:r w:rsidR="003C2ABB">
        <w:rPr>
          <w:rFonts w:ascii="Times New Roman" w:hAnsi="Times New Roman"/>
        </w:rPr>
        <w:t>= .04) were significantly less than those in the precommitment condition (</w:t>
      </w:r>
      <w:r w:rsidR="003C2ABB" w:rsidRPr="00195316">
        <w:rPr>
          <w:rFonts w:ascii="Times New Roman" w:hAnsi="Times New Roman"/>
          <w:i/>
          <w:iCs/>
        </w:rPr>
        <w:t>p</w:t>
      </w:r>
      <w:r w:rsidR="003C2ABB">
        <w:rPr>
          <w:rFonts w:ascii="Times New Roman" w:hAnsi="Times New Roman"/>
        </w:rPr>
        <w:t xml:space="preserve"> = .001) and the non-binding precommitment condition (</w:t>
      </w:r>
      <w:r w:rsidR="003C2ABB" w:rsidRPr="00195316">
        <w:rPr>
          <w:rFonts w:ascii="Times New Roman" w:hAnsi="Times New Roman"/>
          <w:i/>
          <w:iCs/>
        </w:rPr>
        <w:t>p</w:t>
      </w:r>
      <w:r w:rsidR="003C2ABB">
        <w:rPr>
          <w:rFonts w:ascii="Times New Roman" w:hAnsi="Times New Roman"/>
        </w:rPr>
        <w:t xml:space="preserve"> = .02).  </w:t>
      </w:r>
    </w:p>
    <w:p w14:paraId="7038DB31" w14:textId="2B0AA764" w:rsidR="00226977" w:rsidRPr="00226977" w:rsidRDefault="00226977" w:rsidP="00226977">
      <w:pPr>
        <w:spacing w:line="480" w:lineRule="auto"/>
        <w:rPr>
          <w:rFonts w:ascii="Times New Roman" w:hAnsi="Times New Roman"/>
          <w:i/>
          <w:iCs/>
        </w:rPr>
      </w:pPr>
      <w:r w:rsidRPr="00226977">
        <w:rPr>
          <w:rFonts w:ascii="Times New Roman" w:hAnsi="Times New Roman"/>
          <w:i/>
          <w:iCs/>
        </w:rPr>
        <w:t xml:space="preserve">Figure 4. Proportion of safe choices in Study 4, as a function of whether choices were simple repeated choices, binding-precommitted choices, or non-binding precommitted choices. Error bars show +/- one standard error. </w:t>
      </w:r>
    </w:p>
    <w:p w14:paraId="192DC994" w14:textId="77777777" w:rsidR="003C2ABB" w:rsidRDefault="003C2ABB" w:rsidP="003C2ABB">
      <w:pPr>
        <w:spacing w:line="480" w:lineRule="auto"/>
        <w:rPr>
          <w:rFonts w:ascii="Times New Roman" w:hAnsi="Times New Roman"/>
        </w:rPr>
      </w:pPr>
      <w:r w:rsidRPr="005D69AF">
        <w:rPr>
          <w:rFonts w:ascii="Times New Roman" w:hAnsi="Times New Roman"/>
          <w:noProof/>
        </w:rPr>
        <w:lastRenderedPageBreak/>
        <w:drawing>
          <wp:inline distT="0" distB="0" distL="0" distR="0" wp14:anchorId="03E1756F" wp14:editId="70F911EE">
            <wp:extent cx="4969565" cy="2806810"/>
            <wp:effectExtent l="0" t="0" r="2540" b="12700"/>
            <wp:docPr id="26" name="Chart 26">
              <a:extLst xmlns:a="http://schemas.openxmlformats.org/drawingml/2006/main">
                <a:ext uri="{FF2B5EF4-FFF2-40B4-BE49-F238E27FC236}">
                  <a16:creationId xmlns:a16="http://schemas.microsoft.com/office/drawing/2014/main" id="{5CBBC79D-C6AF-4E7E-A222-161F1C5B3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A17A9B" w14:textId="274B1B2D" w:rsidR="003C2ABB" w:rsidRDefault="003C2ABB" w:rsidP="003C2ABB">
      <w:pPr>
        <w:spacing w:line="480" w:lineRule="auto"/>
        <w:rPr>
          <w:rFonts w:ascii="Times New Roman" w:hAnsi="Times New Roman"/>
          <w:i/>
          <w:iCs/>
        </w:rPr>
      </w:pPr>
      <w:r w:rsidRPr="00195316">
        <w:rPr>
          <w:rFonts w:ascii="Times New Roman" w:hAnsi="Times New Roman"/>
          <w:i/>
          <w:iCs/>
        </w:rPr>
        <w:t xml:space="preserve">Study </w:t>
      </w:r>
      <w:r>
        <w:rPr>
          <w:rFonts w:ascii="Times New Roman" w:hAnsi="Times New Roman"/>
          <w:i/>
          <w:iCs/>
        </w:rPr>
        <w:t>4</w:t>
      </w:r>
      <w:r w:rsidRPr="00195316">
        <w:rPr>
          <w:rFonts w:ascii="Times New Roman" w:hAnsi="Times New Roman"/>
          <w:i/>
          <w:iCs/>
        </w:rPr>
        <w:t>: Discussion</w:t>
      </w:r>
    </w:p>
    <w:p w14:paraId="1AE95152" w14:textId="034ACCAD" w:rsidR="003C2ABB" w:rsidRDefault="003C2ABB" w:rsidP="003C2ABB">
      <w:pPr>
        <w:spacing w:line="480" w:lineRule="auto"/>
        <w:rPr>
          <w:rFonts w:ascii="Times New Roman" w:hAnsi="Times New Roman"/>
          <w:i/>
        </w:rPr>
      </w:pPr>
      <w:r>
        <w:rPr>
          <w:rFonts w:ascii="Times New Roman" w:hAnsi="Times New Roman"/>
        </w:rPr>
        <w:tab/>
        <w:t xml:space="preserve">Study 4 replicated the effect of precommitment on </w:t>
      </w:r>
      <w:r w:rsidR="00C44C72">
        <w:rPr>
          <w:rFonts w:ascii="Times New Roman" w:hAnsi="Times New Roman"/>
        </w:rPr>
        <w:t>preference for the</w:t>
      </w:r>
      <w:r>
        <w:rPr>
          <w:rFonts w:ascii="Times New Roman" w:hAnsi="Times New Roman"/>
        </w:rPr>
        <w:t xml:space="preserve"> safer option, even when the commitment was non-binding. This adds to the real-world applicability of </w:t>
      </w:r>
      <w:r w:rsidR="00C44C72">
        <w:rPr>
          <w:rFonts w:ascii="Times New Roman" w:hAnsi="Times New Roman"/>
        </w:rPr>
        <w:t>the precommitment</w:t>
      </w:r>
      <w:r>
        <w:rPr>
          <w:rFonts w:ascii="Times New Roman" w:hAnsi="Times New Roman"/>
        </w:rPr>
        <w:t xml:space="preserve"> effect: </w:t>
      </w:r>
      <w:r w:rsidR="00C44C72">
        <w:rPr>
          <w:rFonts w:ascii="Times New Roman" w:hAnsi="Times New Roman"/>
        </w:rPr>
        <w:t>choice architects often may not be able to force people to follow through on their commitments (or may not want to force people to do so, for ethical reasons).</w:t>
      </w:r>
      <w:r>
        <w:rPr>
          <w:rFonts w:ascii="Times New Roman" w:hAnsi="Times New Roman"/>
        </w:rPr>
        <w:t xml:space="preserve"> </w:t>
      </w:r>
      <w:r w:rsidR="00C44C72">
        <w:rPr>
          <w:rFonts w:ascii="Times New Roman" w:hAnsi="Times New Roman"/>
        </w:rPr>
        <w:t>Non</w:t>
      </w:r>
      <w:r w:rsidR="009E5AAA">
        <w:rPr>
          <w:rFonts w:ascii="Times New Roman" w:hAnsi="Times New Roman"/>
        </w:rPr>
        <w:t>e</w:t>
      </w:r>
      <w:r w:rsidR="00C44C72">
        <w:rPr>
          <w:rFonts w:ascii="Times New Roman" w:hAnsi="Times New Roman"/>
        </w:rPr>
        <w:t>theless</w:t>
      </w:r>
      <w:r>
        <w:rPr>
          <w:rFonts w:ascii="Times New Roman" w:hAnsi="Times New Roman"/>
        </w:rPr>
        <w:t xml:space="preserve">, having </w:t>
      </w:r>
      <w:r w:rsidR="00C44C72">
        <w:rPr>
          <w:rFonts w:ascii="Times New Roman" w:hAnsi="Times New Roman"/>
        </w:rPr>
        <w:t>people</w:t>
      </w:r>
      <w:r>
        <w:rPr>
          <w:rFonts w:ascii="Times New Roman" w:hAnsi="Times New Roman"/>
        </w:rPr>
        <w:t xml:space="preserve"> precommit their choices in a non-binding way can still </w:t>
      </w:r>
      <w:r w:rsidR="00C44C72">
        <w:rPr>
          <w:rFonts w:ascii="Times New Roman" w:hAnsi="Times New Roman"/>
        </w:rPr>
        <w:t>lead to</w:t>
      </w:r>
      <w:r>
        <w:rPr>
          <w:rFonts w:ascii="Times New Roman" w:hAnsi="Times New Roman"/>
        </w:rPr>
        <w:t xml:space="preserve"> safer choices. The non-binding </w:t>
      </w:r>
      <w:r w:rsidR="009E5AAA">
        <w:rPr>
          <w:rFonts w:ascii="Times New Roman" w:hAnsi="Times New Roman"/>
        </w:rPr>
        <w:t>precommitted</w:t>
      </w:r>
      <w:r>
        <w:rPr>
          <w:rFonts w:ascii="Times New Roman" w:hAnsi="Times New Roman"/>
        </w:rPr>
        <w:t xml:space="preserve"> condition was equally flexible as the repeated condition (in that participants could make individual decisions at any given month), </w:t>
      </w:r>
      <w:r w:rsidR="00C44C72">
        <w:rPr>
          <w:rFonts w:ascii="Times New Roman" w:hAnsi="Times New Roman"/>
        </w:rPr>
        <w:t xml:space="preserve">yet </w:t>
      </w:r>
      <w:r>
        <w:rPr>
          <w:rFonts w:ascii="Times New Roman" w:hAnsi="Times New Roman"/>
        </w:rPr>
        <w:t xml:space="preserve">the mere fact that participants in the former condition </w:t>
      </w:r>
      <w:r w:rsidR="009E5AAA">
        <w:rPr>
          <w:rFonts w:ascii="Times New Roman" w:hAnsi="Times New Roman"/>
        </w:rPr>
        <w:t>precommitted</w:t>
      </w:r>
      <w:r>
        <w:rPr>
          <w:rFonts w:ascii="Times New Roman" w:hAnsi="Times New Roman"/>
        </w:rPr>
        <w:t xml:space="preserve"> their choices increased </w:t>
      </w:r>
      <w:r w:rsidR="00C44C72">
        <w:rPr>
          <w:rFonts w:ascii="Times New Roman" w:hAnsi="Times New Roman"/>
        </w:rPr>
        <w:t>safe choices</w:t>
      </w:r>
      <w:r>
        <w:rPr>
          <w:rFonts w:ascii="Times New Roman" w:hAnsi="Times New Roman"/>
        </w:rPr>
        <w:t xml:space="preserve">, </w:t>
      </w:r>
      <w:r w:rsidR="00C44C72">
        <w:rPr>
          <w:rFonts w:ascii="Times New Roman" w:hAnsi="Times New Roman"/>
        </w:rPr>
        <w:t>perhaps due to planning and the consideration of multiple outcomes</w:t>
      </w:r>
      <w:r>
        <w:rPr>
          <w:rFonts w:ascii="Times New Roman" w:hAnsi="Times New Roman"/>
        </w:rPr>
        <w:t>. Thus</w:t>
      </w:r>
      <w:r w:rsidR="00C44C72">
        <w:rPr>
          <w:rFonts w:ascii="Times New Roman" w:hAnsi="Times New Roman"/>
        </w:rPr>
        <w:t>, this</w:t>
      </w:r>
      <w:r>
        <w:rPr>
          <w:rFonts w:ascii="Times New Roman" w:hAnsi="Times New Roman"/>
        </w:rPr>
        <w:t xml:space="preserve"> study clarifies that it is the </w:t>
      </w:r>
      <w:r w:rsidR="00C44C72">
        <w:rPr>
          <w:rFonts w:ascii="Times New Roman" w:hAnsi="Times New Roman"/>
        </w:rPr>
        <w:t>“</w:t>
      </w:r>
      <w:r>
        <w:rPr>
          <w:rFonts w:ascii="Times New Roman" w:hAnsi="Times New Roman"/>
        </w:rPr>
        <w:t>forward-looking</w:t>
      </w:r>
      <w:r w:rsidR="00C44C72">
        <w:rPr>
          <w:rFonts w:ascii="Times New Roman" w:hAnsi="Times New Roman"/>
        </w:rPr>
        <w:t>”</w:t>
      </w:r>
      <w:r>
        <w:rPr>
          <w:rFonts w:ascii="Times New Roman" w:hAnsi="Times New Roman"/>
        </w:rPr>
        <w:t xml:space="preserve"> nature of precommitment, rather than the inflexibility</w:t>
      </w:r>
      <w:r w:rsidR="00C44C72">
        <w:rPr>
          <w:rFonts w:ascii="Times New Roman" w:hAnsi="Times New Roman"/>
        </w:rPr>
        <w:t xml:space="preserve"> or differential timing of feedback</w:t>
      </w:r>
      <w:r>
        <w:rPr>
          <w:rFonts w:ascii="Times New Roman" w:hAnsi="Times New Roman"/>
        </w:rPr>
        <w:t xml:space="preserve">, which drives the observed effect. </w:t>
      </w:r>
    </w:p>
    <w:p w14:paraId="28C43467" w14:textId="6A2AD0FA" w:rsidR="007F39CB" w:rsidRDefault="007F39CB" w:rsidP="007F39CB">
      <w:pPr>
        <w:rPr>
          <w:rFonts w:ascii="Times New Roman" w:hAnsi="Times New Roman"/>
          <w:i/>
        </w:rPr>
      </w:pPr>
    </w:p>
    <w:p w14:paraId="45810671" w14:textId="01E0FB2A" w:rsidR="005A43D2" w:rsidRDefault="005A43D2" w:rsidP="007F39CB">
      <w:pPr>
        <w:rPr>
          <w:rFonts w:asciiTheme="majorBidi" w:hAnsiTheme="majorBidi" w:cstheme="majorBidi"/>
          <w:i/>
          <w:iCs/>
        </w:rPr>
      </w:pPr>
    </w:p>
    <w:p w14:paraId="1647044A" w14:textId="0B2DEF63" w:rsidR="007C269D" w:rsidRDefault="007C269D" w:rsidP="00EC2B68">
      <w:pPr>
        <w:jc w:val="center"/>
        <w:rPr>
          <w:rFonts w:asciiTheme="majorBidi" w:hAnsiTheme="majorBidi" w:cstheme="majorBidi"/>
          <w:i/>
          <w:iCs/>
        </w:rPr>
      </w:pPr>
      <w:r w:rsidRPr="00434349">
        <w:rPr>
          <w:rFonts w:asciiTheme="majorBidi" w:hAnsiTheme="majorBidi" w:cstheme="majorBidi"/>
          <w:i/>
          <w:iCs/>
        </w:rPr>
        <w:t xml:space="preserve">Study </w:t>
      </w:r>
      <w:r w:rsidR="003C2ABB">
        <w:rPr>
          <w:rFonts w:asciiTheme="majorBidi" w:hAnsiTheme="majorBidi" w:cstheme="majorBidi"/>
          <w:i/>
          <w:iCs/>
        </w:rPr>
        <w:t>5</w:t>
      </w:r>
      <w:r w:rsidRPr="00434349">
        <w:rPr>
          <w:rFonts w:asciiTheme="majorBidi" w:hAnsiTheme="majorBidi" w:cstheme="majorBidi"/>
          <w:i/>
          <w:iCs/>
        </w:rPr>
        <w:t xml:space="preserve">: </w:t>
      </w:r>
      <w:r>
        <w:rPr>
          <w:rFonts w:asciiTheme="majorBidi" w:hAnsiTheme="majorBidi" w:cstheme="majorBidi"/>
          <w:i/>
          <w:iCs/>
        </w:rPr>
        <w:t>Process data &amp; mediation</w:t>
      </w:r>
    </w:p>
    <w:p w14:paraId="3D7C40E8" w14:textId="77777777" w:rsidR="007C269D" w:rsidRPr="00434349" w:rsidRDefault="007C269D" w:rsidP="007C269D">
      <w:pPr>
        <w:rPr>
          <w:rFonts w:asciiTheme="majorBidi" w:hAnsiTheme="majorBidi" w:cstheme="majorBidi"/>
          <w:i/>
          <w:iCs/>
        </w:rPr>
      </w:pPr>
    </w:p>
    <w:p w14:paraId="4E697F64" w14:textId="112E1619" w:rsidR="007C269D" w:rsidRDefault="007C269D" w:rsidP="007C269D">
      <w:pPr>
        <w:spacing w:line="480" w:lineRule="auto"/>
        <w:rPr>
          <w:rFonts w:asciiTheme="majorBidi" w:hAnsiTheme="majorBidi" w:cstheme="majorBidi"/>
        </w:rPr>
      </w:pPr>
      <w:r>
        <w:rPr>
          <w:rFonts w:asciiTheme="majorBidi" w:hAnsiTheme="majorBidi" w:cstheme="majorBidi"/>
        </w:rPr>
        <w:tab/>
        <w:t xml:space="preserve">The goal of study </w:t>
      </w:r>
      <w:r w:rsidR="003C2ABB">
        <w:rPr>
          <w:rFonts w:asciiTheme="majorBidi" w:hAnsiTheme="majorBidi" w:cstheme="majorBidi"/>
        </w:rPr>
        <w:t>5</w:t>
      </w:r>
      <w:r>
        <w:rPr>
          <w:rFonts w:asciiTheme="majorBidi" w:hAnsiTheme="majorBidi" w:cstheme="majorBidi"/>
        </w:rPr>
        <w:t xml:space="preserve"> was to </w:t>
      </w:r>
      <w:r w:rsidR="00B11B3D">
        <w:rPr>
          <w:rFonts w:asciiTheme="majorBidi" w:hAnsiTheme="majorBidi" w:cstheme="majorBidi"/>
        </w:rPr>
        <w:t>verify</w:t>
      </w:r>
      <w:r>
        <w:rPr>
          <w:rFonts w:asciiTheme="majorBidi" w:hAnsiTheme="majorBidi" w:cstheme="majorBidi"/>
        </w:rPr>
        <w:t xml:space="preserve"> the </w:t>
      </w:r>
      <w:r w:rsidR="00B11B3D">
        <w:rPr>
          <w:rFonts w:asciiTheme="majorBidi" w:hAnsiTheme="majorBidi" w:cstheme="majorBidi"/>
        </w:rPr>
        <w:t xml:space="preserve">self-report of </w:t>
      </w:r>
      <w:r>
        <w:rPr>
          <w:rFonts w:asciiTheme="majorBidi" w:hAnsiTheme="majorBidi" w:cstheme="majorBidi"/>
        </w:rPr>
        <w:t>psychological processes underlying the precommitment effect. Based on the findings of the think-aloud study</w:t>
      </w:r>
      <w:r w:rsidR="00B11B3D">
        <w:rPr>
          <w:rFonts w:asciiTheme="majorBidi" w:hAnsiTheme="majorBidi" w:cstheme="majorBidi"/>
        </w:rPr>
        <w:t xml:space="preserve"> (Study 1)</w:t>
      </w:r>
      <w:r>
        <w:rPr>
          <w:rFonts w:asciiTheme="majorBidi" w:hAnsiTheme="majorBidi" w:cstheme="majorBidi"/>
        </w:rPr>
        <w:t xml:space="preserve"> as well as those of the other studies, we created 7 measures to examine the potential processes. The full text for these 7 measures can be found in Table </w:t>
      </w:r>
      <w:r w:rsidR="003C2ABB">
        <w:rPr>
          <w:rFonts w:asciiTheme="majorBidi" w:hAnsiTheme="majorBidi" w:cstheme="majorBidi"/>
        </w:rPr>
        <w:t>5</w:t>
      </w:r>
      <w:r>
        <w:rPr>
          <w:rFonts w:asciiTheme="majorBidi" w:hAnsiTheme="majorBidi" w:cstheme="majorBidi"/>
        </w:rPr>
        <w:t>.</w:t>
      </w:r>
      <w:r w:rsidR="00B11B3D">
        <w:rPr>
          <w:rFonts w:asciiTheme="majorBidi" w:hAnsiTheme="majorBidi" w:cstheme="majorBidi"/>
        </w:rPr>
        <w:t xml:space="preserve"> The methods, predictions, and analyses of this study were pre-registered, and can be found at </w:t>
      </w:r>
      <w:proofErr w:type="gramStart"/>
      <w:r w:rsidR="00F74833" w:rsidRPr="00F74833">
        <w:rPr>
          <w:rFonts w:asciiTheme="majorBidi" w:hAnsiTheme="majorBidi" w:cstheme="majorBidi"/>
        </w:rPr>
        <w:t>https://aspredicted.org/blind.php?x=9pg5eu</w:t>
      </w:r>
      <w:r w:rsidR="00F74833">
        <w:rPr>
          <w:rFonts w:asciiTheme="majorBidi" w:hAnsiTheme="majorBidi" w:cstheme="majorBidi"/>
        </w:rPr>
        <w:t xml:space="preserve"> </w:t>
      </w:r>
      <w:r w:rsidR="00B11B3D">
        <w:rPr>
          <w:rFonts w:asciiTheme="majorBidi" w:hAnsiTheme="majorBidi" w:cstheme="majorBidi"/>
        </w:rPr>
        <w:t>.</w:t>
      </w:r>
      <w:proofErr w:type="gramEnd"/>
      <w:r w:rsidR="00B11B3D">
        <w:rPr>
          <w:rFonts w:asciiTheme="majorBidi" w:hAnsiTheme="majorBidi" w:cstheme="majorBidi"/>
        </w:rPr>
        <w:t xml:space="preserve"> </w:t>
      </w:r>
      <w:r w:rsidR="00D815D9">
        <w:rPr>
          <w:rFonts w:asciiTheme="majorBidi" w:hAnsiTheme="majorBidi" w:cstheme="majorBidi"/>
        </w:rPr>
        <w:t xml:space="preserve">We predicted that precommitment would lead to greater planning, which would lead to greater use of math (to improve cumulative outcomes) and greater preference for diversification, leading to safer choices. While this was not significant, the highly similar process of precommitment leading to greater planning, leading to math being judged as useful, leading to safer choices was significant (though not predicted in advance). </w:t>
      </w:r>
    </w:p>
    <w:p w14:paraId="4048FA4B" w14:textId="4A6A8644" w:rsidR="007C269D" w:rsidRPr="00434349" w:rsidRDefault="007C269D" w:rsidP="007C269D">
      <w:pPr>
        <w:spacing w:line="480" w:lineRule="auto"/>
        <w:rPr>
          <w:rFonts w:asciiTheme="majorBidi" w:hAnsiTheme="majorBidi" w:cstheme="majorBidi"/>
          <w:i/>
          <w:iCs/>
        </w:rPr>
      </w:pPr>
      <w:r w:rsidRPr="00434349">
        <w:rPr>
          <w:rFonts w:asciiTheme="majorBidi" w:hAnsiTheme="majorBidi" w:cstheme="majorBidi"/>
          <w:i/>
          <w:iCs/>
        </w:rPr>
        <w:t>Study</w:t>
      </w:r>
      <w:r>
        <w:rPr>
          <w:rFonts w:asciiTheme="majorBidi" w:hAnsiTheme="majorBidi" w:cstheme="majorBidi"/>
          <w:i/>
          <w:iCs/>
        </w:rPr>
        <w:t xml:space="preserve"> </w:t>
      </w:r>
      <w:r w:rsidR="003C2ABB">
        <w:rPr>
          <w:rFonts w:asciiTheme="majorBidi" w:hAnsiTheme="majorBidi" w:cstheme="majorBidi"/>
          <w:i/>
          <w:iCs/>
        </w:rPr>
        <w:t>5</w:t>
      </w:r>
      <w:r w:rsidRPr="00434349">
        <w:rPr>
          <w:rFonts w:asciiTheme="majorBidi" w:hAnsiTheme="majorBidi" w:cstheme="majorBidi"/>
          <w:i/>
          <w:iCs/>
        </w:rPr>
        <w:t xml:space="preserve">: </w:t>
      </w:r>
      <w:r>
        <w:rPr>
          <w:rFonts w:asciiTheme="majorBidi" w:hAnsiTheme="majorBidi" w:cstheme="majorBidi"/>
          <w:i/>
          <w:iCs/>
        </w:rPr>
        <w:t>Methods</w:t>
      </w:r>
    </w:p>
    <w:p w14:paraId="4AB6D65A" w14:textId="2B2D78C2" w:rsidR="007C269D" w:rsidRPr="006850FF" w:rsidRDefault="007C269D" w:rsidP="007C269D">
      <w:pPr>
        <w:spacing w:line="480" w:lineRule="auto"/>
        <w:rPr>
          <w:rFonts w:asciiTheme="majorBidi" w:hAnsiTheme="majorBidi" w:cstheme="majorBidi"/>
        </w:rPr>
      </w:pPr>
      <w:r>
        <w:rPr>
          <w:rFonts w:asciiTheme="majorBidi" w:hAnsiTheme="majorBidi" w:cstheme="majorBidi"/>
        </w:rPr>
        <w:tab/>
      </w:r>
      <w:r w:rsidRPr="00973440">
        <w:rPr>
          <w:rFonts w:asciiTheme="majorBidi" w:hAnsiTheme="majorBidi" w:cstheme="majorBidi"/>
        </w:rPr>
        <w:t>800 participants (60% female</w:t>
      </w:r>
      <w:r w:rsidR="000A26F6">
        <w:rPr>
          <w:rStyle w:val="FootnoteReference"/>
          <w:rFonts w:asciiTheme="majorBidi" w:hAnsiTheme="majorBidi" w:cstheme="majorBidi"/>
        </w:rPr>
        <w:footnoteReference w:id="1"/>
      </w:r>
      <w:r w:rsidRPr="00973440">
        <w:rPr>
          <w:rFonts w:asciiTheme="majorBidi" w:hAnsiTheme="majorBidi" w:cstheme="majorBidi"/>
        </w:rPr>
        <w:t>, M</w:t>
      </w:r>
      <w:r w:rsidRPr="00973440">
        <w:rPr>
          <w:rFonts w:asciiTheme="majorBidi" w:hAnsiTheme="majorBidi" w:cstheme="majorBidi"/>
          <w:vertAlign w:val="subscript"/>
        </w:rPr>
        <w:t xml:space="preserve">age </w:t>
      </w:r>
      <w:r w:rsidRPr="00973440">
        <w:rPr>
          <w:rFonts w:asciiTheme="majorBidi" w:hAnsiTheme="majorBidi" w:cstheme="majorBidi"/>
        </w:rPr>
        <w:t>= 34.8)</w:t>
      </w:r>
      <w:r w:rsidRPr="00434349">
        <w:rPr>
          <w:rFonts w:asciiTheme="majorBidi" w:hAnsiTheme="majorBidi" w:cstheme="majorBidi"/>
        </w:rPr>
        <w:t xml:space="preserve"> were recruited from</w:t>
      </w:r>
      <w:r>
        <w:rPr>
          <w:rFonts w:asciiTheme="majorBidi" w:hAnsiTheme="majorBidi" w:cstheme="majorBidi"/>
        </w:rPr>
        <w:t xml:space="preserve"> </w:t>
      </w:r>
      <w:r w:rsidR="00AF1E6B">
        <w:rPr>
          <w:rFonts w:asciiTheme="majorBidi" w:hAnsiTheme="majorBidi" w:cstheme="majorBidi"/>
        </w:rPr>
        <w:t xml:space="preserve">the </w:t>
      </w:r>
      <w:r>
        <w:rPr>
          <w:rFonts w:asciiTheme="majorBidi" w:hAnsiTheme="majorBidi" w:cstheme="majorBidi"/>
        </w:rPr>
        <w:t>Prolific Academic participant pool in exchange for a fixed monetary compensation</w:t>
      </w:r>
      <w:r w:rsidRPr="00434349">
        <w:rPr>
          <w:rFonts w:asciiTheme="majorBidi" w:hAnsiTheme="majorBidi" w:cstheme="majorBidi"/>
        </w:rPr>
        <w:t xml:space="preserve">. Participants played the same </w:t>
      </w:r>
      <w:r w:rsidR="00AF1E6B">
        <w:rPr>
          <w:rFonts w:asciiTheme="majorBidi" w:hAnsiTheme="majorBidi" w:cstheme="majorBidi"/>
        </w:rPr>
        <w:t>game as in previous studies, using a</w:t>
      </w:r>
      <w:r>
        <w:rPr>
          <w:rFonts w:asciiTheme="majorBidi" w:hAnsiTheme="majorBidi" w:cstheme="majorBidi"/>
        </w:rPr>
        <w:t xml:space="preserve"> between-subjects design</w:t>
      </w:r>
      <w:r w:rsidRPr="00434349">
        <w:rPr>
          <w:rFonts w:asciiTheme="majorBidi" w:hAnsiTheme="majorBidi" w:cstheme="majorBidi"/>
        </w:rPr>
        <w:t xml:space="preserve"> (choice structure: </w:t>
      </w:r>
      <w:r>
        <w:rPr>
          <w:rFonts w:asciiTheme="majorBidi" w:hAnsiTheme="majorBidi" w:cstheme="majorBidi"/>
        </w:rPr>
        <w:t>non-binding precommitment</w:t>
      </w:r>
      <w:r w:rsidRPr="00434349">
        <w:rPr>
          <w:rFonts w:asciiTheme="majorBidi" w:hAnsiTheme="majorBidi" w:cstheme="majorBidi"/>
        </w:rPr>
        <w:t xml:space="preserve"> versus repeated</w:t>
      </w:r>
      <w:r w:rsidR="00AF1E6B">
        <w:rPr>
          <w:rFonts w:asciiTheme="majorBidi" w:hAnsiTheme="majorBidi" w:cstheme="majorBidi"/>
        </w:rPr>
        <w:t xml:space="preserve"> control</w:t>
      </w:r>
      <w:r w:rsidRPr="00434349">
        <w:rPr>
          <w:rFonts w:asciiTheme="majorBidi" w:hAnsiTheme="majorBidi" w:cstheme="majorBidi"/>
        </w:rPr>
        <w:t>)</w:t>
      </w:r>
      <w:r>
        <w:rPr>
          <w:rFonts w:asciiTheme="majorBidi" w:hAnsiTheme="majorBidi" w:cstheme="majorBidi"/>
        </w:rPr>
        <w:t xml:space="preserve">. The only difference </w:t>
      </w:r>
      <w:r w:rsidR="00AF1E6B">
        <w:rPr>
          <w:rFonts w:asciiTheme="majorBidi" w:hAnsiTheme="majorBidi" w:cstheme="majorBidi"/>
        </w:rPr>
        <w:t xml:space="preserve">from previous studies (e.g., Study 1) </w:t>
      </w:r>
      <w:r>
        <w:rPr>
          <w:rFonts w:asciiTheme="majorBidi" w:hAnsiTheme="majorBidi" w:cstheme="majorBidi"/>
        </w:rPr>
        <w:t xml:space="preserve">was in that the precommitment of choices was non-binding. After playing the game for two blocks, the participants were asked to answer the seven process </w:t>
      </w:r>
      <w:r w:rsidR="00AF1E6B">
        <w:rPr>
          <w:rFonts w:asciiTheme="majorBidi" w:hAnsiTheme="majorBidi" w:cstheme="majorBidi"/>
        </w:rPr>
        <w:t>questions</w:t>
      </w:r>
      <w:r>
        <w:rPr>
          <w:rFonts w:asciiTheme="majorBidi" w:hAnsiTheme="majorBidi" w:cstheme="majorBidi"/>
        </w:rPr>
        <w:t xml:space="preserve"> (</w:t>
      </w:r>
      <w:r w:rsidR="00AF1E6B">
        <w:rPr>
          <w:rFonts w:asciiTheme="majorBidi" w:hAnsiTheme="majorBidi" w:cstheme="majorBidi"/>
        </w:rPr>
        <w:t>listed in T</w:t>
      </w:r>
      <w:r>
        <w:rPr>
          <w:rFonts w:asciiTheme="majorBidi" w:hAnsiTheme="majorBidi" w:cstheme="majorBidi"/>
        </w:rPr>
        <w:t xml:space="preserve">able </w:t>
      </w:r>
      <w:r w:rsidR="003C2ABB">
        <w:rPr>
          <w:rFonts w:asciiTheme="majorBidi" w:hAnsiTheme="majorBidi" w:cstheme="majorBidi"/>
        </w:rPr>
        <w:t>5</w:t>
      </w:r>
      <w:r>
        <w:rPr>
          <w:rFonts w:asciiTheme="majorBidi" w:hAnsiTheme="majorBidi" w:cstheme="majorBidi"/>
        </w:rPr>
        <w:t xml:space="preserve">). Once the participants provided their answers for these questions, they played the remaining two blocks of the game and the experiment concluded with demographic questions. </w:t>
      </w:r>
    </w:p>
    <w:p w14:paraId="634A22FE" w14:textId="3188897E" w:rsidR="007C269D" w:rsidRPr="00434349" w:rsidRDefault="007C269D" w:rsidP="007C269D">
      <w:pPr>
        <w:spacing w:line="480" w:lineRule="auto"/>
        <w:rPr>
          <w:rFonts w:asciiTheme="majorBidi" w:hAnsiTheme="majorBidi" w:cstheme="majorBidi"/>
          <w:i/>
          <w:iCs/>
        </w:rPr>
      </w:pPr>
      <w:r w:rsidRPr="00434349">
        <w:rPr>
          <w:rFonts w:asciiTheme="majorBidi" w:hAnsiTheme="majorBidi" w:cstheme="majorBidi"/>
          <w:i/>
          <w:iCs/>
        </w:rPr>
        <w:lastRenderedPageBreak/>
        <w:t xml:space="preserve">Study </w:t>
      </w:r>
      <w:r w:rsidR="003C2ABB">
        <w:rPr>
          <w:rFonts w:asciiTheme="majorBidi" w:hAnsiTheme="majorBidi" w:cstheme="majorBidi"/>
          <w:i/>
          <w:iCs/>
        </w:rPr>
        <w:t>5</w:t>
      </w:r>
      <w:r w:rsidRPr="00434349">
        <w:rPr>
          <w:rFonts w:asciiTheme="majorBidi" w:hAnsiTheme="majorBidi" w:cstheme="majorBidi"/>
          <w:i/>
          <w:iCs/>
        </w:rPr>
        <w:t>: Results</w:t>
      </w:r>
    </w:p>
    <w:p w14:paraId="2E2D647C" w14:textId="41ADD911" w:rsidR="007C269D" w:rsidRDefault="007C269D" w:rsidP="007C269D">
      <w:pPr>
        <w:spacing w:line="480" w:lineRule="auto"/>
        <w:rPr>
          <w:rFonts w:asciiTheme="majorBidi" w:hAnsiTheme="majorBidi" w:cstheme="majorBidi"/>
        </w:rPr>
      </w:pPr>
      <w:r>
        <w:rPr>
          <w:rFonts w:asciiTheme="majorBidi" w:hAnsiTheme="majorBidi" w:cstheme="majorBidi"/>
        </w:rPr>
        <w:tab/>
      </w:r>
      <w:r w:rsidR="00170C03">
        <w:rPr>
          <w:rFonts w:asciiTheme="majorBidi" w:hAnsiTheme="majorBidi" w:cstheme="majorBidi"/>
        </w:rPr>
        <w:t xml:space="preserve">As seen in Figure 5, non-binding precommitment increased the proportion of safe choices. </w:t>
      </w:r>
      <w:r>
        <w:rPr>
          <w:rFonts w:asciiTheme="majorBidi" w:hAnsiTheme="majorBidi" w:cstheme="majorBidi"/>
        </w:rPr>
        <w:t>A</w:t>
      </w:r>
      <w:r w:rsidRPr="00434349">
        <w:rPr>
          <w:rFonts w:asciiTheme="majorBidi" w:hAnsiTheme="majorBidi" w:cstheme="majorBidi"/>
        </w:rPr>
        <w:t xml:space="preserve"> 2 (choice structure) by</w:t>
      </w:r>
      <w:r>
        <w:rPr>
          <w:rFonts w:asciiTheme="majorBidi" w:hAnsiTheme="majorBidi" w:cstheme="majorBidi"/>
        </w:rPr>
        <w:t xml:space="preserve"> </w:t>
      </w:r>
      <w:r w:rsidRPr="00434349">
        <w:rPr>
          <w:rFonts w:asciiTheme="majorBidi" w:hAnsiTheme="majorBidi" w:cstheme="majorBidi"/>
        </w:rPr>
        <w:t xml:space="preserve">4 (blocks) </w:t>
      </w:r>
      <w:r>
        <w:rPr>
          <w:rFonts w:asciiTheme="majorBidi" w:hAnsiTheme="majorBidi" w:cstheme="majorBidi"/>
        </w:rPr>
        <w:t xml:space="preserve">repeated-measures </w:t>
      </w:r>
      <w:r w:rsidRPr="00434349">
        <w:rPr>
          <w:rFonts w:asciiTheme="majorBidi" w:hAnsiTheme="majorBidi" w:cstheme="majorBidi"/>
        </w:rPr>
        <w:t xml:space="preserve">ANOVA </w:t>
      </w:r>
      <w:r>
        <w:rPr>
          <w:rFonts w:asciiTheme="majorBidi" w:hAnsiTheme="majorBidi" w:cstheme="majorBidi"/>
        </w:rPr>
        <w:t>with investment proportion in each block as the DV found a main effect</w:t>
      </w:r>
      <w:r w:rsidRPr="00434349">
        <w:rPr>
          <w:rFonts w:asciiTheme="majorBidi" w:hAnsiTheme="majorBidi" w:cstheme="majorBidi"/>
        </w:rPr>
        <w:t xml:space="preserve"> of precommitment (</w:t>
      </w:r>
      <w:proofErr w:type="spellStart"/>
      <w:r w:rsidRPr="00413D90">
        <w:rPr>
          <w:rFonts w:asciiTheme="majorBidi" w:hAnsiTheme="majorBidi" w:cstheme="majorBidi"/>
          <w:i/>
        </w:rPr>
        <w:t>M</w:t>
      </w:r>
      <w:r w:rsidRPr="00434349">
        <w:rPr>
          <w:rFonts w:asciiTheme="majorBidi" w:hAnsiTheme="majorBidi" w:cstheme="majorBidi"/>
          <w:vertAlign w:val="subscript"/>
        </w:rPr>
        <w:t>rep</w:t>
      </w:r>
      <w:proofErr w:type="spellEnd"/>
      <w:r w:rsidRPr="00434349">
        <w:rPr>
          <w:rFonts w:asciiTheme="majorBidi" w:hAnsiTheme="majorBidi" w:cstheme="majorBidi"/>
          <w:vertAlign w:val="subscript"/>
        </w:rPr>
        <w:t xml:space="preserve"> </w:t>
      </w:r>
      <w:r w:rsidRPr="00434349">
        <w:rPr>
          <w:rFonts w:asciiTheme="majorBidi" w:hAnsiTheme="majorBidi" w:cstheme="majorBidi"/>
        </w:rPr>
        <w:t>= .</w:t>
      </w:r>
      <w:r>
        <w:rPr>
          <w:rFonts w:asciiTheme="majorBidi" w:hAnsiTheme="majorBidi" w:cstheme="majorBidi"/>
        </w:rPr>
        <w:t xml:space="preserve">29 vs </w:t>
      </w:r>
      <w:proofErr w:type="spellStart"/>
      <w:r w:rsidRPr="00413D90">
        <w:rPr>
          <w:rFonts w:asciiTheme="majorBidi" w:hAnsiTheme="majorBidi" w:cstheme="majorBidi"/>
          <w:i/>
        </w:rPr>
        <w:t>M</w:t>
      </w:r>
      <w:r w:rsidRPr="00434349">
        <w:rPr>
          <w:rFonts w:asciiTheme="majorBidi" w:hAnsiTheme="majorBidi" w:cstheme="majorBidi"/>
          <w:vertAlign w:val="subscript"/>
        </w:rPr>
        <w:t>pre</w:t>
      </w:r>
      <w:proofErr w:type="spellEnd"/>
      <w:r w:rsidRPr="00434349">
        <w:rPr>
          <w:rFonts w:asciiTheme="majorBidi" w:hAnsiTheme="majorBidi" w:cstheme="majorBidi"/>
          <w:vertAlign w:val="subscript"/>
        </w:rPr>
        <w:t xml:space="preserve"> </w:t>
      </w:r>
      <w:r w:rsidRPr="00434349">
        <w:rPr>
          <w:rFonts w:asciiTheme="majorBidi" w:hAnsiTheme="majorBidi" w:cstheme="majorBidi"/>
        </w:rPr>
        <w:t>= .</w:t>
      </w:r>
      <w:r>
        <w:rPr>
          <w:rFonts w:asciiTheme="majorBidi" w:hAnsiTheme="majorBidi" w:cstheme="majorBidi"/>
        </w:rPr>
        <w:t>46</w:t>
      </w:r>
      <w:r w:rsidRPr="00434349">
        <w:rPr>
          <w:rFonts w:asciiTheme="majorBidi" w:hAnsiTheme="majorBidi" w:cstheme="majorBidi"/>
        </w:rPr>
        <w:t>,</w:t>
      </w:r>
      <w:r>
        <w:rPr>
          <w:rFonts w:asciiTheme="majorBidi" w:hAnsiTheme="majorBidi" w:cstheme="majorBidi"/>
        </w:rPr>
        <w:t xml:space="preserve"> </w:t>
      </w:r>
      <w:proofErr w:type="gramStart"/>
      <w:r w:rsidRPr="006C28E6">
        <w:rPr>
          <w:rFonts w:asciiTheme="majorBidi" w:hAnsiTheme="majorBidi" w:cstheme="majorBidi"/>
          <w:i/>
          <w:iCs/>
        </w:rPr>
        <w:t>F</w:t>
      </w:r>
      <w:r>
        <w:rPr>
          <w:rFonts w:asciiTheme="majorBidi" w:hAnsiTheme="majorBidi" w:cstheme="majorBidi"/>
        </w:rPr>
        <w:t>(</w:t>
      </w:r>
      <w:proofErr w:type="gramEnd"/>
      <w:r>
        <w:rPr>
          <w:rFonts w:asciiTheme="majorBidi" w:hAnsiTheme="majorBidi" w:cstheme="majorBidi"/>
        </w:rPr>
        <w:t xml:space="preserve">1,791) = 77.35, </w:t>
      </w:r>
      <w:r w:rsidRPr="00434349">
        <w:rPr>
          <w:rFonts w:asciiTheme="majorBidi" w:hAnsiTheme="majorBidi" w:cstheme="majorBidi"/>
        </w:rPr>
        <w:t xml:space="preserve"> </w:t>
      </w:r>
      <w:r w:rsidRPr="00413D90">
        <w:rPr>
          <w:rFonts w:asciiTheme="majorBidi" w:hAnsiTheme="majorBidi" w:cstheme="majorBidi"/>
          <w:i/>
        </w:rPr>
        <w:t>p</w:t>
      </w:r>
      <w:r w:rsidRPr="00434349">
        <w:rPr>
          <w:rFonts w:asciiTheme="majorBidi" w:hAnsiTheme="majorBidi" w:cstheme="majorBidi"/>
        </w:rPr>
        <w:t xml:space="preserve"> </w:t>
      </w:r>
      <w:r>
        <w:rPr>
          <w:rFonts w:asciiTheme="majorBidi" w:hAnsiTheme="majorBidi" w:cstheme="majorBidi"/>
        </w:rPr>
        <w:t>&lt;</w:t>
      </w:r>
      <w:r w:rsidRPr="00434349">
        <w:rPr>
          <w:rFonts w:asciiTheme="majorBidi" w:hAnsiTheme="majorBidi" w:cstheme="majorBidi"/>
        </w:rPr>
        <w:t xml:space="preserve"> .</w:t>
      </w:r>
      <w:r>
        <w:rPr>
          <w:rFonts w:asciiTheme="majorBidi" w:hAnsiTheme="majorBidi" w:cstheme="majorBidi"/>
        </w:rPr>
        <w:t>001</w:t>
      </w:r>
      <w:r w:rsidRPr="00434349">
        <w:rPr>
          <w:rFonts w:asciiTheme="majorBidi" w:hAnsiTheme="majorBidi" w:cstheme="majorBidi"/>
        </w:rPr>
        <w:t>)</w:t>
      </w:r>
      <w:r>
        <w:rPr>
          <w:rFonts w:asciiTheme="majorBidi" w:hAnsiTheme="majorBidi" w:cstheme="majorBidi"/>
        </w:rPr>
        <w:t xml:space="preserve">. Moreover, we found a significant linear contrast for blocks and blocks × choice structure </w:t>
      </w:r>
      <w:r w:rsidRPr="00430316">
        <w:rPr>
          <w:rFonts w:asciiTheme="majorBidi" w:hAnsiTheme="majorBidi" w:cstheme="majorBidi"/>
        </w:rPr>
        <w:t>effects (</w:t>
      </w:r>
      <w:r w:rsidR="00430316" w:rsidRPr="00430316">
        <w:rPr>
          <w:rFonts w:asciiTheme="majorBidi" w:hAnsiTheme="majorBidi" w:cstheme="majorBidi"/>
        </w:rPr>
        <w:t xml:space="preserve">stats reported in </w:t>
      </w:r>
      <w:r w:rsidR="005A14DA" w:rsidRPr="00430316">
        <w:rPr>
          <w:rFonts w:asciiTheme="majorBidi" w:hAnsiTheme="majorBidi" w:cstheme="majorBidi"/>
        </w:rPr>
        <w:t>T</w:t>
      </w:r>
      <w:r w:rsidRPr="00430316">
        <w:rPr>
          <w:rFonts w:asciiTheme="majorBidi" w:hAnsiTheme="majorBidi" w:cstheme="majorBidi"/>
        </w:rPr>
        <w:t xml:space="preserve">able </w:t>
      </w:r>
      <w:r w:rsidR="00430316" w:rsidRPr="00430316">
        <w:rPr>
          <w:rFonts w:asciiTheme="majorBidi" w:hAnsiTheme="majorBidi" w:cstheme="majorBidi"/>
        </w:rPr>
        <w:t>5</w:t>
      </w:r>
      <w:r w:rsidRPr="00430316">
        <w:rPr>
          <w:rFonts w:asciiTheme="majorBidi" w:hAnsiTheme="majorBidi" w:cstheme="majorBidi"/>
        </w:rPr>
        <w:t>).</w:t>
      </w:r>
      <w:r>
        <w:rPr>
          <w:rFonts w:asciiTheme="majorBidi" w:hAnsiTheme="majorBidi" w:cstheme="majorBidi"/>
        </w:rPr>
        <w:t xml:space="preserve"> </w:t>
      </w:r>
      <w:r w:rsidR="005A3454">
        <w:rPr>
          <w:rFonts w:asciiTheme="majorBidi" w:hAnsiTheme="majorBidi" w:cstheme="majorBidi"/>
        </w:rPr>
        <w:t xml:space="preserve">The interaction is shown in Figure 5. </w:t>
      </w:r>
    </w:p>
    <w:p w14:paraId="02A3A819" w14:textId="2F8F44B5" w:rsidR="005A3454" w:rsidRPr="005A3454" w:rsidRDefault="005A3454" w:rsidP="007C269D">
      <w:pPr>
        <w:spacing w:line="480" w:lineRule="auto"/>
        <w:rPr>
          <w:rFonts w:asciiTheme="majorBidi" w:hAnsiTheme="majorBidi" w:cstheme="majorBidi"/>
          <w:i/>
          <w:iCs/>
        </w:rPr>
      </w:pPr>
      <w:r w:rsidRPr="005A3454">
        <w:rPr>
          <w:rFonts w:asciiTheme="majorBidi" w:hAnsiTheme="majorBidi" w:cstheme="majorBidi"/>
          <w:i/>
          <w:iCs/>
        </w:rPr>
        <w:t>Figure 5. Proportion investing in the repeated and non-binding precommitted conditions in each block in Study 5. Error bars show +/- 1 SE.</w:t>
      </w:r>
    </w:p>
    <w:p w14:paraId="1E74A657" w14:textId="77777777" w:rsidR="007C269D" w:rsidRDefault="007C269D" w:rsidP="007C269D">
      <w:pPr>
        <w:spacing w:line="480" w:lineRule="auto"/>
        <w:rPr>
          <w:rFonts w:asciiTheme="majorBidi" w:hAnsiTheme="majorBidi" w:cstheme="majorBidi"/>
        </w:rPr>
      </w:pPr>
      <w:r>
        <w:rPr>
          <w:noProof/>
        </w:rPr>
        <w:drawing>
          <wp:inline distT="0" distB="0" distL="0" distR="0" wp14:anchorId="799F9C91" wp14:editId="02178950">
            <wp:extent cx="5429250" cy="3390900"/>
            <wp:effectExtent l="0" t="0" r="0" b="0"/>
            <wp:docPr id="25" name="Chart 25">
              <a:extLst xmlns:a="http://schemas.openxmlformats.org/drawingml/2006/main">
                <a:ext uri="{FF2B5EF4-FFF2-40B4-BE49-F238E27FC236}">
                  <a16:creationId xmlns:a16="http://schemas.microsoft.com/office/drawing/2014/main" id="{1B8C458A-C7AF-4671-877A-291EC350E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1E2168" w14:textId="5DF0B321" w:rsidR="007C269D" w:rsidRDefault="007C269D" w:rsidP="007C269D">
      <w:pPr>
        <w:spacing w:line="480" w:lineRule="auto"/>
        <w:ind w:firstLine="720"/>
        <w:rPr>
          <w:rFonts w:asciiTheme="majorBidi" w:hAnsiTheme="majorBidi" w:cstheme="majorBidi"/>
        </w:rPr>
      </w:pPr>
      <w:r w:rsidRPr="000213C5">
        <w:rPr>
          <w:rFonts w:asciiTheme="majorBidi" w:hAnsiTheme="majorBidi" w:cstheme="majorBidi"/>
          <w:i/>
          <w:iCs/>
        </w:rPr>
        <w:t>Process measures</w:t>
      </w:r>
      <w:r>
        <w:rPr>
          <w:rFonts w:asciiTheme="majorBidi" w:hAnsiTheme="majorBidi" w:cstheme="majorBidi"/>
          <w:i/>
          <w:iCs/>
        </w:rPr>
        <w:t xml:space="preserve"> (pre-registered analyses)</w:t>
      </w:r>
      <w:r w:rsidRPr="000213C5">
        <w:rPr>
          <w:rFonts w:asciiTheme="majorBidi" w:hAnsiTheme="majorBidi" w:cstheme="majorBidi"/>
          <w:i/>
          <w:iCs/>
        </w:rPr>
        <w:t xml:space="preserve">: </w:t>
      </w:r>
      <w:r w:rsidR="00943761">
        <w:rPr>
          <w:rFonts w:asciiTheme="majorBidi" w:hAnsiTheme="majorBidi" w:cstheme="majorBidi"/>
        </w:rPr>
        <w:t xml:space="preserve">We examined whether each of the measured variables mediate the effect of precommitment on choices. </w:t>
      </w:r>
      <w:r>
        <w:rPr>
          <w:rFonts w:asciiTheme="majorBidi" w:hAnsiTheme="majorBidi" w:cstheme="majorBidi"/>
        </w:rPr>
        <w:t xml:space="preserve">The indirect effects through each of the seven process measures is reported in </w:t>
      </w:r>
      <w:r w:rsidR="00430316">
        <w:rPr>
          <w:rFonts w:asciiTheme="majorBidi" w:hAnsiTheme="majorBidi" w:cstheme="majorBidi"/>
        </w:rPr>
        <w:t>T</w:t>
      </w:r>
      <w:r>
        <w:rPr>
          <w:rFonts w:asciiTheme="majorBidi" w:hAnsiTheme="majorBidi" w:cstheme="majorBidi"/>
        </w:rPr>
        <w:t xml:space="preserve">able </w:t>
      </w:r>
      <w:r w:rsidR="00430316">
        <w:rPr>
          <w:rFonts w:asciiTheme="majorBidi" w:hAnsiTheme="majorBidi" w:cstheme="majorBidi"/>
        </w:rPr>
        <w:t>3</w:t>
      </w:r>
      <w:r>
        <w:rPr>
          <w:rFonts w:asciiTheme="majorBidi" w:hAnsiTheme="majorBidi" w:cstheme="majorBidi"/>
        </w:rPr>
        <w:t xml:space="preserve">. As can be seen in the </w:t>
      </w:r>
      <w:r>
        <w:rPr>
          <w:rFonts w:asciiTheme="majorBidi" w:hAnsiTheme="majorBidi" w:cstheme="majorBidi"/>
        </w:rPr>
        <w:lastRenderedPageBreak/>
        <w:t xml:space="preserve">table, only the indirect effects for items 5, 6, and 7 is significant on a 95% bootstrapped confidence interval. </w:t>
      </w:r>
    </w:p>
    <w:p w14:paraId="2AF48FC3" w14:textId="684E2D21" w:rsidR="007C269D" w:rsidRPr="000213C5" w:rsidRDefault="007C269D" w:rsidP="007C269D">
      <w:pPr>
        <w:spacing w:line="480" w:lineRule="auto"/>
        <w:ind w:firstLine="720"/>
        <w:rPr>
          <w:rFonts w:asciiTheme="majorBidi" w:hAnsiTheme="majorBidi" w:cstheme="majorBidi"/>
        </w:rPr>
      </w:pPr>
      <w:r>
        <w:rPr>
          <w:rFonts w:asciiTheme="majorBidi" w:hAnsiTheme="majorBidi" w:cstheme="majorBidi"/>
        </w:rPr>
        <w:t xml:space="preserve">Moreover, we had pre-registered the following </w:t>
      </w:r>
      <w:r w:rsidRPr="00932124">
        <w:rPr>
          <w:rFonts w:asciiTheme="majorBidi" w:hAnsiTheme="majorBidi" w:cstheme="majorBidi"/>
          <w:i/>
          <w:iCs/>
        </w:rPr>
        <w:t>serial</w:t>
      </w:r>
      <w:r>
        <w:rPr>
          <w:rFonts w:asciiTheme="majorBidi" w:hAnsiTheme="majorBidi" w:cstheme="majorBidi"/>
        </w:rPr>
        <w:t xml:space="preserve"> mediation analyses to further probe into the mechanisms underlying precommitment effect: a) Precommitment -&gt; Follow plan? -&gt; Used math? -&gt; Investment proportion, and b) Precommitment -&gt; Follow plan? -&gt; Same or diversify? -&gt; Investment proportion. The results</w:t>
      </w:r>
      <w:r w:rsidR="00567842">
        <w:rPr>
          <w:rFonts w:asciiTheme="majorBidi" w:hAnsiTheme="majorBidi" w:cstheme="majorBidi"/>
        </w:rPr>
        <w:t xml:space="preserve"> for both of these</w:t>
      </w:r>
      <w:r>
        <w:rPr>
          <w:rFonts w:asciiTheme="majorBidi" w:hAnsiTheme="majorBidi" w:cstheme="majorBidi"/>
        </w:rPr>
        <w:t xml:space="preserve">, however, turned </w:t>
      </w:r>
      <w:r w:rsidR="00567842">
        <w:rPr>
          <w:rFonts w:asciiTheme="majorBidi" w:hAnsiTheme="majorBidi" w:cstheme="majorBidi"/>
        </w:rPr>
        <w:t xml:space="preserve">out </w:t>
      </w:r>
      <w:r>
        <w:rPr>
          <w:rFonts w:asciiTheme="majorBidi" w:hAnsiTheme="majorBidi" w:cstheme="majorBidi"/>
        </w:rPr>
        <w:t>non-significant (</w:t>
      </w:r>
      <w:r w:rsidR="00430316">
        <w:rPr>
          <w:rFonts w:asciiTheme="majorBidi" w:hAnsiTheme="majorBidi" w:cstheme="majorBidi"/>
        </w:rPr>
        <w:t>T</w:t>
      </w:r>
      <w:r>
        <w:rPr>
          <w:rFonts w:asciiTheme="majorBidi" w:hAnsiTheme="majorBidi" w:cstheme="majorBidi"/>
        </w:rPr>
        <w:t xml:space="preserve">able </w:t>
      </w:r>
      <w:r w:rsidR="00430316">
        <w:rPr>
          <w:rFonts w:asciiTheme="majorBidi" w:hAnsiTheme="majorBidi" w:cstheme="majorBidi"/>
        </w:rPr>
        <w:t>4</w:t>
      </w:r>
      <w:r>
        <w:rPr>
          <w:rFonts w:asciiTheme="majorBidi" w:hAnsiTheme="majorBidi" w:cstheme="majorBidi"/>
        </w:rPr>
        <w:t>).</w:t>
      </w:r>
    </w:p>
    <w:p w14:paraId="033C04C9" w14:textId="72268514" w:rsidR="009F2C05" w:rsidRDefault="007C269D" w:rsidP="007C269D">
      <w:pPr>
        <w:spacing w:line="480" w:lineRule="auto"/>
        <w:ind w:firstLine="720"/>
        <w:rPr>
          <w:rFonts w:asciiTheme="majorBidi" w:hAnsiTheme="majorBidi" w:cstheme="majorBidi"/>
        </w:rPr>
      </w:pPr>
      <w:r w:rsidRPr="000213C5">
        <w:rPr>
          <w:rFonts w:asciiTheme="majorBidi" w:hAnsiTheme="majorBidi" w:cstheme="majorBidi"/>
          <w:i/>
          <w:iCs/>
        </w:rPr>
        <w:t>Process measures</w:t>
      </w:r>
      <w:r>
        <w:rPr>
          <w:rFonts w:asciiTheme="majorBidi" w:hAnsiTheme="majorBidi" w:cstheme="majorBidi"/>
          <w:i/>
          <w:iCs/>
        </w:rPr>
        <w:t xml:space="preserve"> (exploratory analyses)</w:t>
      </w:r>
      <w:r w:rsidRPr="000213C5">
        <w:rPr>
          <w:rFonts w:asciiTheme="majorBidi" w:hAnsiTheme="majorBidi" w:cstheme="majorBidi"/>
          <w:i/>
          <w:iCs/>
        </w:rPr>
        <w:t xml:space="preserve">: </w:t>
      </w:r>
      <w:r w:rsidRPr="00E4071E">
        <w:rPr>
          <w:rFonts w:asciiTheme="majorBidi" w:hAnsiTheme="majorBidi" w:cstheme="majorBidi"/>
        </w:rPr>
        <w:t xml:space="preserve">We </w:t>
      </w:r>
      <w:r w:rsidR="00567842">
        <w:rPr>
          <w:rFonts w:asciiTheme="majorBidi" w:hAnsiTheme="majorBidi" w:cstheme="majorBidi"/>
        </w:rPr>
        <w:t>tested other, non-pre-registered serial mediation analyses, as exploratory analyses</w:t>
      </w:r>
      <w:r>
        <w:rPr>
          <w:rFonts w:asciiTheme="majorBidi" w:hAnsiTheme="majorBidi" w:cstheme="majorBidi"/>
        </w:rPr>
        <w:t>. Specifically, we tested the following serial effects: a)</w:t>
      </w:r>
      <w:r w:rsidR="00A32787">
        <w:rPr>
          <w:rFonts w:asciiTheme="majorBidi" w:hAnsiTheme="majorBidi" w:cstheme="majorBidi"/>
        </w:rPr>
        <w:t xml:space="preserve"> Precommitment -&gt; Follow plan? -&gt; Is math useful? -&gt; Investment proportion</w:t>
      </w:r>
      <w:r>
        <w:rPr>
          <w:rFonts w:asciiTheme="majorBidi" w:hAnsiTheme="majorBidi" w:cstheme="majorBidi"/>
        </w:rPr>
        <w:t xml:space="preserve">, and b) </w:t>
      </w:r>
      <w:r w:rsidR="00A32787">
        <w:rPr>
          <w:rFonts w:asciiTheme="majorBidi" w:hAnsiTheme="majorBidi" w:cstheme="majorBidi"/>
        </w:rPr>
        <w:t>Precommitment -&gt; Used math? -&gt; Is math useful? -&gt; Investment proportion</w:t>
      </w:r>
      <w:r>
        <w:rPr>
          <w:rFonts w:asciiTheme="majorBidi" w:hAnsiTheme="majorBidi" w:cstheme="majorBidi"/>
        </w:rPr>
        <w:t xml:space="preserve">. The results for these two analyses are summarized in </w:t>
      </w:r>
      <w:r w:rsidR="00645B94">
        <w:rPr>
          <w:rFonts w:asciiTheme="majorBidi" w:hAnsiTheme="majorBidi" w:cstheme="majorBidi"/>
        </w:rPr>
        <w:t>T</w:t>
      </w:r>
      <w:r>
        <w:rPr>
          <w:rFonts w:asciiTheme="majorBidi" w:hAnsiTheme="majorBidi" w:cstheme="majorBidi"/>
        </w:rPr>
        <w:t xml:space="preserve">able </w:t>
      </w:r>
      <w:r w:rsidR="00645B94">
        <w:rPr>
          <w:rFonts w:asciiTheme="majorBidi" w:hAnsiTheme="majorBidi" w:cstheme="majorBidi"/>
        </w:rPr>
        <w:t>4</w:t>
      </w:r>
      <w:r>
        <w:rPr>
          <w:rFonts w:asciiTheme="majorBidi" w:hAnsiTheme="majorBidi" w:cstheme="majorBidi"/>
        </w:rPr>
        <w:t xml:space="preserve">. As illustrated </w:t>
      </w:r>
      <w:r w:rsidR="00CA2B2A">
        <w:rPr>
          <w:rFonts w:asciiTheme="majorBidi" w:hAnsiTheme="majorBidi" w:cstheme="majorBidi"/>
        </w:rPr>
        <w:t>there</w:t>
      </w:r>
      <w:r>
        <w:rPr>
          <w:rFonts w:asciiTheme="majorBidi" w:hAnsiTheme="majorBidi" w:cstheme="majorBidi"/>
        </w:rPr>
        <w:t>, both serial indirect effects are significant</w:t>
      </w:r>
      <w:r w:rsidR="00F02777">
        <w:rPr>
          <w:rFonts w:asciiTheme="majorBidi" w:hAnsiTheme="majorBidi" w:cstheme="majorBidi"/>
        </w:rPr>
        <w:t xml:space="preserve"> using the 95% confidence intervals</w:t>
      </w:r>
      <w:r>
        <w:rPr>
          <w:rFonts w:asciiTheme="majorBidi" w:hAnsiTheme="majorBidi" w:cstheme="majorBidi"/>
        </w:rPr>
        <w:t xml:space="preserve">. </w:t>
      </w:r>
      <w:r w:rsidR="0090405F">
        <w:rPr>
          <w:rFonts w:asciiTheme="majorBidi" w:hAnsiTheme="majorBidi" w:cstheme="majorBidi"/>
        </w:rPr>
        <w:t xml:space="preserve">Still, these results should be interpreted with caution, as they are post-hoc. </w:t>
      </w:r>
    </w:p>
    <w:p w14:paraId="156C3F57" w14:textId="77777777" w:rsidR="009F2C05" w:rsidRDefault="009F2C05">
      <w:pPr>
        <w:rPr>
          <w:rFonts w:asciiTheme="majorBidi" w:hAnsiTheme="majorBidi" w:cstheme="majorBidi"/>
        </w:rPr>
      </w:pPr>
      <w:r>
        <w:rPr>
          <w:rFonts w:asciiTheme="majorBidi" w:hAnsiTheme="majorBidi" w:cstheme="majorBidi"/>
        </w:rPr>
        <w:br w:type="page"/>
      </w:r>
    </w:p>
    <w:p w14:paraId="6B25B501" w14:textId="77777777" w:rsidR="001A0945" w:rsidRDefault="001A0945" w:rsidP="00C85417">
      <w:pPr>
        <w:rPr>
          <w:rFonts w:ascii="Times New Roman" w:hAnsi="Times New Roman"/>
          <w:color w:val="000000"/>
          <w:sz w:val="20"/>
          <w:szCs w:val="20"/>
        </w:rPr>
        <w:sectPr w:rsidR="001A0945" w:rsidSect="00BA22EB">
          <w:pgSz w:w="12240" w:h="15840"/>
          <w:pgMar w:top="1440" w:right="1800" w:bottom="1440" w:left="1800" w:header="720" w:footer="720" w:gutter="0"/>
          <w:cols w:space="720"/>
          <w:docGrid w:linePitch="360"/>
        </w:sectPr>
      </w:pPr>
    </w:p>
    <w:p w14:paraId="40883907" w14:textId="2CC14CCB" w:rsidR="005F3E74" w:rsidRDefault="005F3E74" w:rsidP="00BA22EB">
      <w:pPr>
        <w:spacing w:after="160" w:line="480" w:lineRule="auto"/>
        <w:rPr>
          <w:rFonts w:ascii="Times New Roman" w:eastAsia="Calibri" w:hAnsi="Times New Roman"/>
          <w:sz w:val="20"/>
          <w:szCs w:val="20"/>
          <w:lang w:val="en-CA"/>
        </w:rPr>
      </w:pPr>
      <w:r>
        <w:rPr>
          <w:rFonts w:ascii="Times New Roman" w:eastAsia="Calibri" w:hAnsi="Times New Roman"/>
          <w:sz w:val="20"/>
          <w:szCs w:val="20"/>
          <w:lang w:val="en-CA"/>
        </w:rPr>
        <w:lastRenderedPageBreak/>
        <w:t>Table</w:t>
      </w:r>
      <w:r w:rsidR="005A3454">
        <w:rPr>
          <w:rFonts w:ascii="Times New Roman" w:eastAsia="Calibri" w:hAnsi="Times New Roman"/>
          <w:sz w:val="20"/>
          <w:szCs w:val="20"/>
          <w:lang w:val="en-CA"/>
        </w:rPr>
        <w:t xml:space="preserve"> </w:t>
      </w:r>
      <w:r w:rsidR="00430316">
        <w:rPr>
          <w:rFonts w:ascii="Times New Roman" w:eastAsia="Calibri" w:hAnsi="Times New Roman"/>
          <w:sz w:val="20"/>
          <w:szCs w:val="20"/>
          <w:lang w:val="en-CA"/>
        </w:rPr>
        <w:t>3</w:t>
      </w:r>
      <w:r>
        <w:rPr>
          <w:rFonts w:ascii="Times New Roman" w:eastAsia="Calibri" w:hAnsi="Times New Roman"/>
          <w:sz w:val="20"/>
          <w:szCs w:val="20"/>
          <w:lang w:val="en-CA"/>
        </w:rPr>
        <w:t xml:space="preserve">. </w:t>
      </w:r>
      <w:r w:rsidR="005A3454">
        <w:rPr>
          <w:rFonts w:ascii="Times New Roman" w:eastAsia="Calibri" w:hAnsi="Times New Roman"/>
          <w:sz w:val="20"/>
          <w:szCs w:val="20"/>
          <w:lang w:val="en-CA"/>
        </w:rPr>
        <w:t xml:space="preserve">Pre-registered simple mediation analyses in Study 5. Significant mediation effects are bolded. </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5"/>
        <w:gridCol w:w="1260"/>
        <w:gridCol w:w="1890"/>
        <w:gridCol w:w="1805"/>
      </w:tblGrid>
      <w:tr w:rsidR="005F3E74" w:rsidRPr="007C269D" w14:paraId="7A96BE28" w14:textId="77777777" w:rsidTr="00601DE3">
        <w:trPr>
          <w:trHeight w:val="290"/>
        </w:trPr>
        <w:tc>
          <w:tcPr>
            <w:tcW w:w="8005" w:type="dxa"/>
            <w:shd w:val="clear" w:color="auto" w:fill="auto"/>
            <w:noWrap/>
            <w:vAlign w:val="bottom"/>
            <w:hideMark/>
          </w:tcPr>
          <w:p w14:paraId="7CDCE49D"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Item text</w:t>
            </w:r>
          </w:p>
        </w:tc>
        <w:tc>
          <w:tcPr>
            <w:tcW w:w="1260" w:type="dxa"/>
            <w:shd w:val="clear" w:color="auto" w:fill="auto"/>
            <w:noWrap/>
            <w:vAlign w:val="bottom"/>
            <w:hideMark/>
          </w:tcPr>
          <w:p w14:paraId="413B528C"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Repeated</w:t>
            </w:r>
          </w:p>
        </w:tc>
        <w:tc>
          <w:tcPr>
            <w:tcW w:w="1890" w:type="dxa"/>
            <w:shd w:val="clear" w:color="auto" w:fill="auto"/>
            <w:noWrap/>
            <w:vAlign w:val="bottom"/>
            <w:hideMark/>
          </w:tcPr>
          <w:p w14:paraId="1BDA93E9"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Non-binding Precommitment</w:t>
            </w:r>
          </w:p>
        </w:tc>
        <w:tc>
          <w:tcPr>
            <w:tcW w:w="1805" w:type="dxa"/>
            <w:shd w:val="clear" w:color="auto" w:fill="auto"/>
            <w:noWrap/>
            <w:vAlign w:val="bottom"/>
            <w:hideMark/>
          </w:tcPr>
          <w:p w14:paraId="2B691D53"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Indirect effect</w:t>
            </w:r>
          </w:p>
        </w:tc>
      </w:tr>
      <w:tr w:rsidR="005F3E74" w:rsidRPr="007C269D" w14:paraId="65872A29" w14:textId="77777777" w:rsidTr="00601DE3">
        <w:trPr>
          <w:trHeight w:val="290"/>
        </w:trPr>
        <w:tc>
          <w:tcPr>
            <w:tcW w:w="8005" w:type="dxa"/>
            <w:shd w:val="clear" w:color="auto" w:fill="auto"/>
            <w:noWrap/>
            <w:vAlign w:val="bottom"/>
            <w:hideMark/>
          </w:tcPr>
          <w:p w14:paraId="040A0FE7" w14:textId="77777777" w:rsidR="005F3E74" w:rsidRPr="007C269D" w:rsidRDefault="005F3E74" w:rsidP="00601DE3">
            <w:pPr>
              <w:rPr>
                <w:rFonts w:ascii="Times New Roman" w:hAnsi="Times New Roman"/>
                <w:color w:val="000000"/>
                <w:sz w:val="20"/>
                <w:szCs w:val="20"/>
              </w:rPr>
            </w:pPr>
          </w:p>
        </w:tc>
        <w:tc>
          <w:tcPr>
            <w:tcW w:w="1260" w:type="dxa"/>
            <w:shd w:val="clear" w:color="auto" w:fill="auto"/>
            <w:noWrap/>
            <w:vAlign w:val="bottom"/>
            <w:hideMark/>
          </w:tcPr>
          <w:p w14:paraId="1110BEB4"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Mean (SD)</w:t>
            </w:r>
          </w:p>
        </w:tc>
        <w:tc>
          <w:tcPr>
            <w:tcW w:w="1890" w:type="dxa"/>
            <w:shd w:val="clear" w:color="auto" w:fill="auto"/>
            <w:noWrap/>
            <w:vAlign w:val="bottom"/>
            <w:hideMark/>
          </w:tcPr>
          <w:p w14:paraId="4A70B231"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Mean (SD)</w:t>
            </w:r>
          </w:p>
        </w:tc>
        <w:tc>
          <w:tcPr>
            <w:tcW w:w="1805" w:type="dxa"/>
            <w:shd w:val="clear" w:color="auto" w:fill="auto"/>
            <w:noWrap/>
            <w:vAlign w:val="bottom"/>
            <w:hideMark/>
          </w:tcPr>
          <w:p w14:paraId="6070E17C"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95% CI</w:t>
            </w:r>
          </w:p>
        </w:tc>
      </w:tr>
      <w:tr w:rsidR="005F3E74" w:rsidRPr="007C269D" w14:paraId="15D44750" w14:textId="77777777" w:rsidTr="00601DE3">
        <w:trPr>
          <w:trHeight w:val="290"/>
        </w:trPr>
        <w:tc>
          <w:tcPr>
            <w:tcW w:w="8005" w:type="dxa"/>
            <w:shd w:val="clear" w:color="auto" w:fill="auto"/>
            <w:noWrap/>
            <w:vAlign w:val="bottom"/>
            <w:hideMark/>
          </w:tcPr>
          <w:p w14:paraId="0D69581D"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1. How complicated is this decision task?</w:t>
            </w:r>
          </w:p>
        </w:tc>
        <w:tc>
          <w:tcPr>
            <w:tcW w:w="1260" w:type="dxa"/>
            <w:shd w:val="clear" w:color="auto" w:fill="auto"/>
            <w:noWrap/>
            <w:vAlign w:val="bottom"/>
            <w:hideMark/>
          </w:tcPr>
          <w:p w14:paraId="1D66159F"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1.82 (1.13)</w:t>
            </w:r>
          </w:p>
        </w:tc>
        <w:tc>
          <w:tcPr>
            <w:tcW w:w="1890" w:type="dxa"/>
            <w:shd w:val="clear" w:color="auto" w:fill="auto"/>
            <w:noWrap/>
            <w:vAlign w:val="bottom"/>
            <w:hideMark/>
          </w:tcPr>
          <w:p w14:paraId="70583A5E"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1.97 (1.17)</w:t>
            </w:r>
          </w:p>
        </w:tc>
        <w:tc>
          <w:tcPr>
            <w:tcW w:w="1805" w:type="dxa"/>
            <w:shd w:val="clear" w:color="auto" w:fill="auto"/>
            <w:noWrap/>
            <w:vAlign w:val="bottom"/>
            <w:hideMark/>
          </w:tcPr>
          <w:p w14:paraId="03C41E8A"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[-.005, .001]</w:t>
            </w:r>
          </w:p>
        </w:tc>
      </w:tr>
      <w:tr w:rsidR="005F3E74" w:rsidRPr="007C269D" w14:paraId="1DE7C4CE" w14:textId="77777777" w:rsidTr="00601DE3">
        <w:trPr>
          <w:trHeight w:val="290"/>
        </w:trPr>
        <w:tc>
          <w:tcPr>
            <w:tcW w:w="8005" w:type="dxa"/>
            <w:shd w:val="clear" w:color="auto" w:fill="auto"/>
            <w:noWrap/>
            <w:vAlign w:val="bottom"/>
            <w:hideMark/>
          </w:tcPr>
          <w:p w14:paraId="0BC07DDD"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 xml:space="preserve">2. How difficult is it to decide which region to mine? </w:t>
            </w:r>
          </w:p>
        </w:tc>
        <w:tc>
          <w:tcPr>
            <w:tcW w:w="1260" w:type="dxa"/>
            <w:shd w:val="clear" w:color="auto" w:fill="auto"/>
            <w:noWrap/>
            <w:vAlign w:val="bottom"/>
            <w:hideMark/>
          </w:tcPr>
          <w:p w14:paraId="72A94ACB"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2.35 (1.26)</w:t>
            </w:r>
          </w:p>
        </w:tc>
        <w:tc>
          <w:tcPr>
            <w:tcW w:w="1890" w:type="dxa"/>
            <w:shd w:val="clear" w:color="auto" w:fill="auto"/>
            <w:noWrap/>
            <w:vAlign w:val="bottom"/>
            <w:hideMark/>
          </w:tcPr>
          <w:p w14:paraId="63A740D6"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2.47 (1.27)</w:t>
            </w:r>
          </w:p>
        </w:tc>
        <w:tc>
          <w:tcPr>
            <w:tcW w:w="1805" w:type="dxa"/>
            <w:shd w:val="clear" w:color="auto" w:fill="auto"/>
            <w:noWrap/>
            <w:vAlign w:val="bottom"/>
            <w:hideMark/>
          </w:tcPr>
          <w:p w14:paraId="226F2B95"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[-.006, .001]</w:t>
            </w:r>
          </w:p>
        </w:tc>
      </w:tr>
      <w:tr w:rsidR="005F3E74" w:rsidRPr="007C269D" w14:paraId="3C8059CC" w14:textId="77777777" w:rsidTr="00601DE3">
        <w:trPr>
          <w:trHeight w:val="290"/>
        </w:trPr>
        <w:tc>
          <w:tcPr>
            <w:tcW w:w="8005" w:type="dxa"/>
            <w:shd w:val="clear" w:color="auto" w:fill="auto"/>
            <w:noWrap/>
            <w:vAlign w:val="bottom"/>
            <w:hideMark/>
          </w:tcPr>
          <w:p w14:paraId="5F75C5DC"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3. How much information do you need to consider to make your decision?</w:t>
            </w:r>
          </w:p>
        </w:tc>
        <w:tc>
          <w:tcPr>
            <w:tcW w:w="1260" w:type="dxa"/>
            <w:shd w:val="clear" w:color="auto" w:fill="auto"/>
            <w:noWrap/>
            <w:vAlign w:val="bottom"/>
            <w:hideMark/>
          </w:tcPr>
          <w:p w14:paraId="44347D83"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3.32 (1.17)</w:t>
            </w:r>
          </w:p>
        </w:tc>
        <w:tc>
          <w:tcPr>
            <w:tcW w:w="1890" w:type="dxa"/>
            <w:shd w:val="clear" w:color="auto" w:fill="auto"/>
            <w:noWrap/>
            <w:vAlign w:val="bottom"/>
            <w:hideMark/>
          </w:tcPr>
          <w:p w14:paraId="2CBFD658"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3.43 (1.24)</w:t>
            </w:r>
          </w:p>
        </w:tc>
        <w:tc>
          <w:tcPr>
            <w:tcW w:w="1805" w:type="dxa"/>
            <w:shd w:val="clear" w:color="auto" w:fill="auto"/>
            <w:noWrap/>
            <w:vAlign w:val="bottom"/>
            <w:hideMark/>
          </w:tcPr>
          <w:p w14:paraId="568EB9F2"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[-.003, .002]</w:t>
            </w:r>
          </w:p>
        </w:tc>
      </w:tr>
      <w:tr w:rsidR="005F3E74" w:rsidRPr="007C269D" w14:paraId="72A8DEE2" w14:textId="77777777" w:rsidTr="00601DE3">
        <w:trPr>
          <w:trHeight w:val="290"/>
        </w:trPr>
        <w:tc>
          <w:tcPr>
            <w:tcW w:w="8005" w:type="dxa"/>
            <w:shd w:val="clear" w:color="auto" w:fill="auto"/>
            <w:noWrap/>
            <w:vAlign w:val="bottom"/>
            <w:hideMark/>
          </w:tcPr>
          <w:p w14:paraId="2301BBA1"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4. Do you prefer to mine in the same region each time, or diversify the regions that you mine in?</w:t>
            </w:r>
          </w:p>
        </w:tc>
        <w:tc>
          <w:tcPr>
            <w:tcW w:w="1260" w:type="dxa"/>
            <w:shd w:val="clear" w:color="auto" w:fill="auto"/>
            <w:noWrap/>
            <w:vAlign w:val="bottom"/>
            <w:hideMark/>
          </w:tcPr>
          <w:p w14:paraId="1487E522"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3.56 (1.97)</w:t>
            </w:r>
          </w:p>
        </w:tc>
        <w:tc>
          <w:tcPr>
            <w:tcW w:w="1890" w:type="dxa"/>
            <w:shd w:val="clear" w:color="auto" w:fill="auto"/>
            <w:noWrap/>
            <w:vAlign w:val="bottom"/>
            <w:hideMark/>
          </w:tcPr>
          <w:p w14:paraId="3C6E146E"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3.61 (1.93)</w:t>
            </w:r>
          </w:p>
        </w:tc>
        <w:tc>
          <w:tcPr>
            <w:tcW w:w="1805" w:type="dxa"/>
            <w:shd w:val="clear" w:color="auto" w:fill="auto"/>
            <w:noWrap/>
            <w:vAlign w:val="bottom"/>
            <w:hideMark/>
          </w:tcPr>
          <w:p w14:paraId="661299F3"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[-.002, .003]</w:t>
            </w:r>
          </w:p>
        </w:tc>
      </w:tr>
      <w:tr w:rsidR="005F3E74" w:rsidRPr="007C269D" w14:paraId="7D916DC6" w14:textId="77777777" w:rsidTr="00601DE3">
        <w:trPr>
          <w:trHeight w:val="290"/>
        </w:trPr>
        <w:tc>
          <w:tcPr>
            <w:tcW w:w="8005" w:type="dxa"/>
            <w:shd w:val="clear" w:color="auto" w:fill="auto"/>
            <w:noWrap/>
            <w:vAlign w:val="bottom"/>
            <w:hideMark/>
          </w:tcPr>
          <w:p w14:paraId="537B7B9D"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 xml:space="preserve">5. Do you think it is useful to use math or calculations to make your decision in the task? </w:t>
            </w:r>
          </w:p>
        </w:tc>
        <w:tc>
          <w:tcPr>
            <w:tcW w:w="1260" w:type="dxa"/>
            <w:shd w:val="clear" w:color="auto" w:fill="auto"/>
            <w:noWrap/>
            <w:vAlign w:val="bottom"/>
            <w:hideMark/>
          </w:tcPr>
          <w:p w14:paraId="43420516"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3.84 (1.99)</w:t>
            </w:r>
          </w:p>
        </w:tc>
        <w:tc>
          <w:tcPr>
            <w:tcW w:w="1890" w:type="dxa"/>
            <w:shd w:val="clear" w:color="auto" w:fill="auto"/>
            <w:noWrap/>
            <w:vAlign w:val="bottom"/>
            <w:hideMark/>
          </w:tcPr>
          <w:p w14:paraId="56C9E8AB"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4.24 (1.93)</w:t>
            </w:r>
          </w:p>
        </w:tc>
        <w:tc>
          <w:tcPr>
            <w:tcW w:w="1805" w:type="dxa"/>
            <w:shd w:val="clear" w:color="auto" w:fill="auto"/>
            <w:noWrap/>
            <w:vAlign w:val="bottom"/>
            <w:hideMark/>
          </w:tcPr>
          <w:p w14:paraId="1AEFD37F" w14:textId="77777777" w:rsidR="005F3E74" w:rsidRPr="007C269D" w:rsidRDefault="005F3E74" w:rsidP="00601DE3">
            <w:pPr>
              <w:rPr>
                <w:rFonts w:ascii="Times New Roman" w:hAnsi="Times New Roman"/>
                <w:b/>
                <w:bCs/>
                <w:color w:val="000000"/>
                <w:sz w:val="20"/>
                <w:szCs w:val="20"/>
              </w:rPr>
            </w:pPr>
            <w:r w:rsidRPr="007C269D">
              <w:rPr>
                <w:rFonts w:ascii="Times New Roman" w:hAnsi="Times New Roman"/>
                <w:b/>
                <w:bCs/>
                <w:color w:val="000000"/>
                <w:sz w:val="20"/>
                <w:szCs w:val="20"/>
              </w:rPr>
              <w:t>[.002, .014]</w:t>
            </w:r>
          </w:p>
        </w:tc>
      </w:tr>
      <w:tr w:rsidR="005F3E74" w:rsidRPr="007C269D" w14:paraId="6BE6CDB0" w14:textId="77777777" w:rsidTr="00601DE3">
        <w:trPr>
          <w:trHeight w:val="290"/>
        </w:trPr>
        <w:tc>
          <w:tcPr>
            <w:tcW w:w="8005" w:type="dxa"/>
            <w:shd w:val="clear" w:color="auto" w:fill="auto"/>
            <w:noWrap/>
            <w:vAlign w:val="bottom"/>
            <w:hideMark/>
          </w:tcPr>
          <w:p w14:paraId="4F2D3F70"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 xml:space="preserve">6. Did you actually do math or calculations to help you make your decision? </w:t>
            </w:r>
          </w:p>
        </w:tc>
        <w:tc>
          <w:tcPr>
            <w:tcW w:w="1260" w:type="dxa"/>
            <w:shd w:val="clear" w:color="auto" w:fill="auto"/>
            <w:noWrap/>
            <w:vAlign w:val="bottom"/>
            <w:hideMark/>
          </w:tcPr>
          <w:p w14:paraId="15E784EE"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1.80 (0.88)</w:t>
            </w:r>
          </w:p>
        </w:tc>
        <w:tc>
          <w:tcPr>
            <w:tcW w:w="1890" w:type="dxa"/>
            <w:shd w:val="clear" w:color="auto" w:fill="auto"/>
            <w:noWrap/>
            <w:vAlign w:val="bottom"/>
            <w:hideMark/>
          </w:tcPr>
          <w:p w14:paraId="6DE35EBF"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2.12 (0.86)</w:t>
            </w:r>
          </w:p>
        </w:tc>
        <w:tc>
          <w:tcPr>
            <w:tcW w:w="1805" w:type="dxa"/>
            <w:shd w:val="clear" w:color="auto" w:fill="auto"/>
            <w:noWrap/>
            <w:vAlign w:val="bottom"/>
            <w:hideMark/>
          </w:tcPr>
          <w:p w14:paraId="46B6BFBF" w14:textId="77777777" w:rsidR="005F3E74" w:rsidRPr="007C269D" w:rsidRDefault="005F3E74" w:rsidP="00601DE3">
            <w:pPr>
              <w:rPr>
                <w:rFonts w:ascii="Times New Roman" w:hAnsi="Times New Roman"/>
                <w:b/>
                <w:bCs/>
                <w:color w:val="000000"/>
                <w:sz w:val="20"/>
                <w:szCs w:val="20"/>
              </w:rPr>
            </w:pPr>
            <w:r w:rsidRPr="007C269D">
              <w:rPr>
                <w:rFonts w:ascii="Times New Roman" w:hAnsi="Times New Roman"/>
                <w:b/>
                <w:bCs/>
                <w:color w:val="000000"/>
                <w:sz w:val="20"/>
                <w:szCs w:val="20"/>
              </w:rPr>
              <w:t>[.0002, .0157]</w:t>
            </w:r>
          </w:p>
        </w:tc>
      </w:tr>
      <w:tr w:rsidR="005F3E74" w:rsidRPr="007C269D" w14:paraId="57BDBAD9" w14:textId="77777777" w:rsidTr="00601DE3">
        <w:trPr>
          <w:trHeight w:val="290"/>
        </w:trPr>
        <w:tc>
          <w:tcPr>
            <w:tcW w:w="8005" w:type="dxa"/>
            <w:shd w:val="clear" w:color="auto" w:fill="auto"/>
            <w:noWrap/>
            <w:vAlign w:val="bottom"/>
            <w:hideMark/>
          </w:tcPr>
          <w:p w14:paraId="106DC7D6"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 xml:space="preserve">7. How much do you agree with the following statement: “I set out a plan at the beginning of the block, and I follow it.” </w:t>
            </w:r>
          </w:p>
        </w:tc>
        <w:tc>
          <w:tcPr>
            <w:tcW w:w="1260" w:type="dxa"/>
            <w:shd w:val="clear" w:color="auto" w:fill="auto"/>
            <w:noWrap/>
            <w:vAlign w:val="bottom"/>
            <w:hideMark/>
          </w:tcPr>
          <w:p w14:paraId="5E98099F"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4.56 (1.91)</w:t>
            </w:r>
          </w:p>
        </w:tc>
        <w:tc>
          <w:tcPr>
            <w:tcW w:w="1890" w:type="dxa"/>
            <w:shd w:val="clear" w:color="auto" w:fill="auto"/>
            <w:noWrap/>
            <w:vAlign w:val="bottom"/>
            <w:hideMark/>
          </w:tcPr>
          <w:p w14:paraId="09B61166" w14:textId="77777777" w:rsidR="005F3E74" w:rsidRPr="007C269D" w:rsidRDefault="005F3E74" w:rsidP="00601DE3">
            <w:pPr>
              <w:rPr>
                <w:rFonts w:ascii="Times New Roman" w:hAnsi="Times New Roman"/>
                <w:color w:val="000000"/>
                <w:sz w:val="20"/>
                <w:szCs w:val="20"/>
              </w:rPr>
            </w:pPr>
            <w:r w:rsidRPr="007C269D">
              <w:rPr>
                <w:rFonts w:ascii="Times New Roman" w:hAnsi="Times New Roman"/>
                <w:color w:val="000000"/>
                <w:sz w:val="20"/>
                <w:szCs w:val="20"/>
              </w:rPr>
              <w:t>5.04 (1.81)</w:t>
            </w:r>
          </w:p>
        </w:tc>
        <w:tc>
          <w:tcPr>
            <w:tcW w:w="1805" w:type="dxa"/>
            <w:shd w:val="clear" w:color="auto" w:fill="auto"/>
            <w:noWrap/>
            <w:vAlign w:val="bottom"/>
            <w:hideMark/>
          </w:tcPr>
          <w:p w14:paraId="28C63A77" w14:textId="77777777" w:rsidR="005F3E74" w:rsidRPr="007C269D" w:rsidRDefault="005F3E74" w:rsidP="00601DE3">
            <w:pPr>
              <w:rPr>
                <w:rFonts w:ascii="Times New Roman" w:hAnsi="Times New Roman"/>
                <w:b/>
                <w:bCs/>
                <w:color w:val="000000"/>
                <w:sz w:val="20"/>
                <w:szCs w:val="20"/>
              </w:rPr>
            </w:pPr>
            <w:r w:rsidRPr="007C269D">
              <w:rPr>
                <w:rFonts w:ascii="Times New Roman" w:hAnsi="Times New Roman"/>
                <w:b/>
                <w:bCs/>
                <w:color w:val="000000"/>
                <w:sz w:val="20"/>
                <w:szCs w:val="20"/>
              </w:rPr>
              <w:t>[.001, .012]</w:t>
            </w:r>
          </w:p>
        </w:tc>
      </w:tr>
    </w:tbl>
    <w:p w14:paraId="0415F979" w14:textId="500758D7" w:rsidR="005F3E74" w:rsidRDefault="005F3E74" w:rsidP="00BA22EB">
      <w:pPr>
        <w:spacing w:after="160" w:line="480" w:lineRule="auto"/>
        <w:rPr>
          <w:rFonts w:ascii="Times New Roman" w:eastAsia="Calibri" w:hAnsi="Times New Roman"/>
          <w:sz w:val="20"/>
          <w:szCs w:val="20"/>
          <w:lang w:val="en-CA"/>
        </w:rPr>
      </w:pPr>
    </w:p>
    <w:p w14:paraId="729B055D" w14:textId="77777777" w:rsidR="005F3E74" w:rsidRDefault="005F3E74">
      <w:pPr>
        <w:rPr>
          <w:rFonts w:ascii="Times New Roman" w:eastAsia="Calibri" w:hAnsi="Times New Roman"/>
          <w:sz w:val="20"/>
          <w:szCs w:val="20"/>
          <w:lang w:val="en-CA"/>
        </w:rPr>
      </w:pPr>
      <w:r>
        <w:rPr>
          <w:rFonts w:ascii="Times New Roman" w:eastAsia="Calibri" w:hAnsi="Times New Roman"/>
          <w:sz w:val="20"/>
          <w:szCs w:val="20"/>
          <w:lang w:val="en-CA"/>
        </w:rPr>
        <w:br w:type="page"/>
      </w:r>
    </w:p>
    <w:p w14:paraId="44E8194E" w14:textId="6E066232" w:rsidR="005F3E74" w:rsidRDefault="005F3E74" w:rsidP="00BA22EB">
      <w:pPr>
        <w:spacing w:after="160" w:line="480" w:lineRule="auto"/>
        <w:rPr>
          <w:rFonts w:ascii="Times New Roman" w:eastAsia="Calibri" w:hAnsi="Times New Roman"/>
          <w:sz w:val="20"/>
          <w:szCs w:val="20"/>
          <w:lang w:val="en-CA"/>
        </w:rPr>
      </w:pPr>
      <w:r>
        <w:rPr>
          <w:rFonts w:ascii="Times New Roman" w:eastAsia="Calibri" w:hAnsi="Times New Roman"/>
          <w:sz w:val="20"/>
          <w:szCs w:val="20"/>
          <w:lang w:val="en-CA"/>
        </w:rPr>
        <w:lastRenderedPageBreak/>
        <w:t xml:space="preserve">Table </w:t>
      </w:r>
      <w:r w:rsidR="00430316">
        <w:rPr>
          <w:rFonts w:ascii="Times New Roman" w:eastAsia="Calibri" w:hAnsi="Times New Roman"/>
          <w:sz w:val="20"/>
          <w:szCs w:val="20"/>
          <w:lang w:val="en-CA"/>
        </w:rPr>
        <w:t>4</w:t>
      </w:r>
      <w:r>
        <w:rPr>
          <w:rFonts w:ascii="Times New Roman" w:eastAsia="Calibri" w:hAnsi="Times New Roman"/>
          <w:sz w:val="20"/>
          <w:szCs w:val="20"/>
          <w:lang w:val="en-CA"/>
        </w:rPr>
        <w:t xml:space="preserve">. </w:t>
      </w:r>
      <w:r w:rsidR="00675410">
        <w:rPr>
          <w:rFonts w:ascii="Times New Roman" w:eastAsia="Calibri" w:hAnsi="Times New Roman"/>
          <w:sz w:val="20"/>
          <w:szCs w:val="20"/>
          <w:lang w:val="en-CA"/>
        </w:rPr>
        <w:t>Pre-registered and exploratory s</w:t>
      </w:r>
      <w:r>
        <w:rPr>
          <w:rFonts w:ascii="Times New Roman" w:eastAsia="Calibri" w:hAnsi="Times New Roman"/>
          <w:sz w:val="20"/>
          <w:szCs w:val="20"/>
          <w:lang w:val="en-CA"/>
        </w:rPr>
        <w:t xml:space="preserve">erial mediation analyses in Study 5. </w:t>
      </w:r>
      <w:r w:rsidR="005A3454">
        <w:rPr>
          <w:rFonts w:ascii="Times New Roman" w:eastAsia="Calibri" w:hAnsi="Times New Roman"/>
          <w:sz w:val="20"/>
          <w:szCs w:val="20"/>
          <w:lang w:val="en-CA"/>
        </w:rPr>
        <w:t>Significant mediation effects are bolded.</w:t>
      </w:r>
    </w:p>
    <w:p w14:paraId="61E9D82F" w14:textId="6317787C" w:rsidR="005F3E74" w:rsidRPr="007C269D" w:rsidRDefault="005F3E74" w:rsidP="00BA22EB">
      <w:pPr>
        <w:spacing w:after="160" w:line="480" w:lineRule="auto"/>
        <w:rPr>
          <w:rFonts w:ascii="Times New Roman" w:eastAsia="Calibri" w:hAnsi="Times New Roman"/>
          <w:sz w:val="20"/>
          <w:szCs w:val="20"/>
          <w:lang w:val="en-CA"/>
        </w:rPr>
      </w:pPr>
      <w:r w:rsidRPr="007C269D">
        <w:rPr>
          <w:rFonts w:ascii="Times New Roman" w:eastAsia="Calibri" w:hAnsi="Times New Roman"/>
          <w:sz w:val="20"/>
          <w:szCs w:val="20"/>
          <w:lang w:val="en-CA"/>
        </w:rPr>
        <w:t>Pre-registered analyses</w:t>
      </w:r>
    </w:p>
    <w:tbl>
      <w:tblPr>
        <w:tblW w:w="14220" w:type="dxa"/>
        <w:tblLook w:val="04A0" w:firstRow="1" w:lastRow="0" w:firstColumn="1" w:lastColumn="0" w:noHBand="0" w:noVBand="1"/>
      </w:tblPr>
      <w:tblGrid>
        <w:gridCol w:w="3360"/>
        <w:gridCol w:w="1157"/>
        <w:gridCol w:w="1193"/>
        <w:gridCol w:w="1462"/>
        <w:gridCol w:w="1548"/>
        <w:gridCol w:w="243"/>
        <w:gridCol w:w="1753"/>
        <w:gridCol w:w="1068"/>
        <w:gridCol w:w="1309"/>
        <w:gridCol w:w="1127"/>
      </w:tblGrid>
      <w:tr w:rsidR="00BA22EB" w:rsidRPr="007C269D" w14:paraId="396E4B6B" w14:textId="77777777" w:rsidTr="00C85417">
        <w:trPr>
          <w:trHeight w:val="290"/>
        </w:trPr>
        <w:tc>
          <w:tcPr>
            <w:tcW w:w="3360" w:type="dxa"/>
            <w:shd w:val="clear" w:color="auto" w:fill="auto"/>
            <w:noWrap/>
            <w:vAlign w:val="center"/>
            <w:hideMark/>
          </w:tcPr>
          <w:p w14:paraId="539A1F83" w14:textId="77777777" w:rsidR="00BA22EB" w:rsidRPr="007C269D" w:rsidRDefault="00BA22EB" w:rsidP="00C85417">
            <w:pPr>
              <w:jc w:val="center"/>
              <w:rPr>
                <w:rFonts w:ascii="Times New Roman" w:hAnsi="Times New Roman"/>
                <w:sz w:val="20"/>
                <w:szCs w:val="20"/>
              </w:rPr>
            </w:pPr>
          </w:p>
        </w:tc>
        <w:tc>
          <w:tcPr>
            <w:tcW w:w="5360" w:type="dxa"/>
            <w:gridSpan w:val="4"/>
            <w:tcBorders>
              <w:bottom w:val="single" w:sz="4" w:space="0" w:color="auto"/>
            </w:tcBorders>
            <w:shd w:val="clear" w:color="auto" w:fill="auto"/>
            <w:noWrap/>
            <w:vAlign w:val="center"/>
            <w:hideMark/>
          </w:tcPr>
          <w:p w14:paraId="5AB7B570"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Precommitment -&gt; Follow plan? -&gt; Used math? -&gt; Investment proportion</w:t>
            </w:r>
          </w:p>
        </w:tc>
        <w:tc>
          <w:tcPr>
            <w:tcW w:w="243" w:type="dxa"/>
            <w:tcBorders>
              <w:bottom w:val="single" w:sz="4" w:space="0" w:color="auto"/>
            </w:tcBorders>
            <w:shd w:val="clear" w:color="auto" w:fill="auto"/>
            <w:noWrap/>
            <w:vAlign w:val="center"/>
            <w:hideMark/>
          </w:tcPr>
          <w:p w14:paraId="54B86327" w14:textId="77777777" w:rsidR="00BA22EB" w:rsidRPr="007C269D" w:rsidRDefault="00BA22EB" w:rsidP="00C85417">
            <w:pPr>
              <w:jc w:val="center"/>
              <w:rPr>
                <w:rFonts w:ascii="Times New Roman" w:hAnsi="Times New Roman"/>
                <w:color w:val="000000"/>
                <w:sz w:val="20"/>
                <w:szCs w:val="20"/>
              </w:rPr>
            </w:pPr>
          </w:p>
        </w:tc>
        <w:tc>
          <w:tcPr>
            <w:tcW w:w="5257" w:type="dxa"/>
            <w:gridSpan w:val="4"/>
            <w:tcBorders>
              <w:bottom w:val="single" w:sz="4" w:space="0" w:color="auto"/>
            </w:tcBorders>
            <w:shd w:val="clear" w:color="auto" w:fill="auto"/>
            <w:noWrap/>
            <w:vAlign w:val="center"/>
            <w:hideMark/>
          </w:tcPr>
          <w:p w14:paraId="40C0A45D"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Precommitment -&gt; Follow plan? -&gt; Same or diversify? -&gt; Investment proportion</w:t>
            </w:r>
          </w:p>
        </w:tc>
      </w:tr>
      <w:tr w:rsidR="00BA22EB" w:rsidRPr="007C269D" w14:paraId="4A792B40" w14:textId="77777777" w:rsidTr="00C85417">
        <w:trPr>
          <w:trHeight w:val="290"/>
        </w:trPr>
        <w:tc>
          <w:tcPr>
            <w:tcW w:w="3360" w:type="dxa"/>
            <w:shd w:val="clear" w:color="auto" w:fill="auto"/>
            <w:noWrap/>
            <w:vAlign w:val="center"/>
            <w:hideMark/>
          </w:tcPr>
          <w:p w14:paraId="57501439" w14:textId="77777777" w:rsidR="00BA22EB" w:rsidRPr="007C269D" w:rsidRDefault="00BA22EB" w:rsidP="00C85417">
            <w:pPr>
              <w:jc w:val="center"/>
              <w:rPr>
                <w:rFonts w:ascii="Times New Roman" w:hAnsi="Times New Roman"/>
                <w:color w:val="000000"/>
                <w:sz w:val="20"/>
                <w:szCs w:val="20"/>
              </w:rPr>
            </w:pPr>
          </w:p>
        </w:tc>
        <w:tc>
          <w:tcPr>
            <w:tcW w:w="1157" w:type="dxa"/>
            <w:tcBorders>
              <w:top w:val="single" w:sz="4" w:space="0" w:color="auto"/>
              <w:bottom w:val="single" w:sz="4" w:space="0" w:color="auto"/>
            </w:tcBorders>
            <w:shd w:val="clear" w:color="auto" w:fill="auto"/>
            <w:noWrap/>
            <w:vAlign w:val="center"/>
            <w:hideMark/>
          </w:tcPr>
          <w:p w14:paraId="3624AC1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Effect</w:t>
            </w:r>
          </w:p>
        </w:tc>
        <w:tc>
          <w:tcPr>
            <w:tcW w:w="1193" w:type="dxa"/>
            <w:tcBorders>
              <w:top w:val="single" w:sz="4" w:space="0" w:color="auto"/>
              <w:bottom w:val="single" w:sz="4" w:space="0" w:color="auto"/>
            </w:tcBorders>
            <w:shd w:val="clear" w:color="auto" w:fill="auto"/>
            <w:noWrap/>
            <w:vAlign w:val="center"/>
            <w:hideMark/>
          </w:tcPr>
          <w:p w14:paraId="37E9EE74"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SE</w:t>
            </w:r>
          </w:p>
        </w:tc>
        <w:tc>
          <w:tcPr>
            <w:tcW w:w="1462" w:type="dxa"/>
            <w:tcBorders>
              <w:top w:val="single" w:sz="4" w:space="0" w:color="auto"/>
              <w:bottom w:val="single" w:sz="4" w:space="0" w:color="auto"/>
            </w:tcBorders>
            <w:shd w:val="clear" w:color="auto" w:fill="auto"/>
            <w:noWrap/>
            <w:vAlign w:val="center"/>
            <w:hideMark/>
          </w:tcPr>
          <w:p w14:paraId="246DAFA9"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LLCI</w:t>
            </w:r>
          </w:p>
        </w:tc>
        <w:tc>
          <w:tcPr>
            <w:tcW w:w="1548" w:type="dxa"/>
            <w:tcBorders>
              <w:top w:val="single" w:sz="4" w:space="0" w:color="auto"/>
              <w:bottom w:val="single" w:sz="4" w:space="0" w:color="auto"/>
            </w:tcBorders>
            <w:shd w:val="clear" w:color="auto" w:fill="auto"/>
            <w:noWrap/>
            <w:vAlign w:val="center"/>
            <w:hideMark/>
          </w:tcPr>
          <w:p w14:paraId="1EF89FDE"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ULCI</w:t>
            </w:r>
          </w:p>
        </w:tc>
        <w:tc>
          <w:tcPr>
            <w:tcW w:w="243" w:type="dxa"/>
            <w:tcBorders>
              <w:top w:val="single" w:sz="4" w:space="0" w:color="auto"/>
              <w:bottom w:val="single" w:sz="4" w:space="0" w:color="auto"/>
            </w:tcBorders>
            <w:shd w:val="clear" w:color="auto" w:fill="auto"/>
            <w:noWrap/>
            <w:vAlign w:val="center"/>
            <w:hideMark/>
          </w:tcPr>
          <w:p w14:paraId="4319C756" w14:textId="77777777" w:rsidR="00BA22EB" w:rsidRPr="007C269D" w:rsidRDefault="00BA22EB" w:rsidP="00C85417">
            <w:pPr>
              <w:jc w:val="center"/>
              <w:rPr>
                <w:rFonts w:ascii="Times New Roman" w:hAnsi="Times New Roman"/>
                <w:color w:val="000000"/>
                <w:sz w:val="20"/>
                <w:szCs w:val="20"/>
              </w:rPr>
            </w:pPr>
          </w:p>
        </w:tc>
        <w:tc>
          <w:tcPr>
            <w:tcW w:w="1753" w:type="dxa"/>
            <w:tcBorders>
              <w:top w:val="single" w:sz="4" w:space="0" w:color="auto"/>
              <w:bottom w:val="single" w:sz="4" w:space="0" w:color="auto"/>
            </w:tcBorders>
            <w:shd w:val="clear" w:color="auto" w:fill="auto"/>
            <w:noWrap/>
            <w:vAlign w:val="center"/>
            <w:hideMark/>
          </w:tcPr>
          <w:p w14:paraId="4F011737"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Effect</w:t>
            </w:r>
          </w:p>
        </w:tc>
        <w:tc>
          <w:tcPr>
            <w:tcW w:w="1068" w:type="dxa"/>
            <w:tcBorders>
              <w:top w:val="single" w:sz="4" w:space="0" w:color="auto"/>
              <w:bottom w:val="single" w:sz="4" w:space="0" w:color="auto"/>
            </w:tcBorders>
            <w:shd w:val="clear" w:color="auto" w:fill="auto"/>
            <w:noWrap/>
            <w:vAlign w:val="center"/>
            <w:hideMark/>
          </w:tcPr>
          <w:p w14:paraId="77E4852D"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SE</w:t>
            </w:r>
          </w:p>
        </w:tc>
        <w:tc>
          <w:tcPr>
            <w:tcW w:w="1309" w:type="dxa"/>
            <w:tcBorders>
              <w:top w:val="single" w:sz="4" w:space="0" w:color="auto"/>
              <w:bottom w:val="single" w:sz="4" w:space="0" w:color="auto"/>
            </w:tcBorders>
            <w:shd w:val="clear" w:color="auto" w:fill="auto"/>
            <w:noWrap/>
            <w:vAlign w:val="center"/>
            <w:hideMark/>
          </w:tcPr>
          <w:p w14:paraId="14D5F447"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LLCI</w:t>
            </w:r>
          </w:p>
        </w:tc>
        <w:tc>
          <w:tcPr>
            <w:tcW w:w="1127" w:type="dxa"/>
            <w:tcBorders>
              <w:top w:val="single" w:sz="4" w:space="0" w:color="auto"/>
              <w:bottom w:val="single" w:sz="4" w:space="0" w:color="auto"/>
            </w:tcBorders>
            <w:shd w:val="clear" w:color="auto" w:fill="auto"/>
            <w:noWrap/>
            <w:vAlign w:val="center"/>
            <w:hideMark/>
          </w:tcPr>
          <w:p w14:paraId="6F09150B"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ULCI</w:t>
            </w:r>
          </w:p>
        </w:tc>
      </w:tr>
      <w:tr w:rsidR="00BA22EB" w:rsidRPr="007C269D" w14:paraId="01DFAD66" w14:textId="77777777" w:rsidTr="00C85417">
        <w:trPr>
          <w:trHeight w:val="290"/>
        </w:trPr>
        <w:tc>
          <w:tcPr>
            <w:tcW w:w="3360" w:type="dxa"/>
            <w:shd w:val="clear" w:color="auto" w:fill="auto"/>
            <w:noWrap/>
            <w:vAlign w:val="center"/>
            <w:hideMark/>
          </w:tcPr>
          <w:p w14:paraId="257D1197"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TOTAL effect</w:t>
            </w:r>
          </w:p>
        </w:tc>
        <w:tc>
          <w:tcPr>
            <w:tcW w:w="1157" w:type="dxa"/>
            <w:tcBorders>
              <w:top w:val="single" w:sz="4" w:space="0" w:color="auto"/>
            </w:tcBorders>
            <w:shd w:val="clear" w:color="auto" w:fill="auto"/>
            <w:noWrap/>
            <w:vAlign w:val="bottom"/>
            <w:hideMark/>
          </w:tcPr>
          <w:p w14:paraId="4A18917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0.0098</w:t>
            </w:r>
          </w:p>
        </w:tc>
        <w:tc>
          <w:tcPr>
            <w:tcW w:w="1193" w:type="dxa"/>
            <w:tcBorders>
              <w:top w:val="single" w:sz="4" w:space="0" w:color="auto"/>
            </w:tcBorders>
            <w:shd w:val="clear" w:color="auto" w:fill="auto"/>
            <w:noWrap/>
            <w:vAlign w:val="bottom"/>
            <w:hideMark/>
          </w:tcPr>
          <w:p w14:paraId="2B906FBF"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0.0044</w:t>
            </w:r>
          </w:p>
        </w:tc>
        <w:tc>
          <w:tcPr>
            <w:tcW w:w="1462" w:type="dxa"/>
            <w:tcBorders>
              <w:top w:val="single" w:sz="4" w:space="0" w:color="auto"/>
            </w:tcBorders>
            <w:shd w:val="clear" w:color="auto" w:fill="auto"/>
            <w:noWrap/>
            <w:vAlign w:val="bottom"/>
            <w:hideMark/>
          </w:tcPr>
          <w:p w14:paraId="5F1BC81A"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0.002</w:t>
            </w:r>
          </w:p>
        </w:tc>
        <w:tc>
          <w:tcPr>
            <w:tcW w:w="1548" w:type="dxa"/>
            <w:tcBorders>
              <w:top w:val="single" w:sz="4" w:space="0" w:color="auto"/>
            </w:tcBorders>
            <w:shd w:val="clear" w:color="auto" w:fill="auto"/>
            <w:noWrap/>
            <w:vAlign w:val="bottom"/>
            <w:hideMark/>
          </w:tcPr>
          <w:p w14:paraId="47D885DB"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0.0192</w:t>
            </w:r>
          </w:p>
        </w:tc>
        <w:tc>
          <w:tcPr>
            <w:tcW w:w="243" w:type="dxa"/>
            <w:tcBorders>
              <w:top w:val="single" w:sz="4" w:space="0" w:color="auto"/>
            </w:tcBorders>
            <w:shd w:val="clear" w:color="auto" w:fill="auto"/>
            <w:noWrap/>
            <w:vAlign w:val="bottom"/>
            <w:hideMark/>
          </w:tcPr>
          <w:p w14:paraId="5893F86D" w14:textId="77777777" w:rsidR="00BA22EB" w:rsidRPr="007C269D" w:rsidRDefault="00BA22EB" w:rsidP="00C85417">
            <w:pPr>
              <w:jc w:val="center"/>
              <w:rPr>
                <w:rFonts w:ascii="Times New Roman" w:hAnsi="Times New Roman"/>
                <w:color w:val="000000"/>
                <w:sz w:val="20"/>
                <w:szCs w:val="20"/>
              </w:rPr>
            </w:pPr>
          </w:p>
        </w:tc>
        <w:tc>
          <w:tcPr>
            <w:tcW w:w="1753" w:type="dxa"/>
            <w:tcBorders>
              <w:top w:val="single" w:sz="4" w:space="0" w:color="auto"/>
            </w:tcBorders>
            <w:shd w:val="clear" w:color="auto" w:fill="auto"/>
            <w:noWrap/>
            <w:vAlign w:val="bottom"/>
            <w:hideMark/>
          </w:tcPr>
          <w:p w14:paraId="3FAE4D95"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0.0072</w:t>
            </w:r>
          </w:p>
        </w:tc>
        <w:tc>
          <w:tcPr>
            <w:tcW w:w="1068" w:type="dxa"/>
            <w:tcBorders>
              <w:top w:val="single" w:sz="4" w:space="0" w:color="auto"/>
            </w:tcBorders>
            <w:shd w:val="clear" w:color="auto" w:fill="auto"/>
            <w:noWrap/>
            <w:vAlign w:val="bottom"/>
            <w:hideMark/>
          </w:tcPr>
          <w:p w14:paraId="1CE31AC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0.0033</w:t>
            </w:r>
          </w:p>
        </w:tc>
        <w:tc>
          <w:tcPr>
            <w:tcW w:w="1309" w:type="dxa"/>
            <w:tcBorders>
              <w:top w:val="single" w:sz="4" w:space="0" w:color="auto"/>
            </w:tcBorders>
            <w:shd w:val="clear" w:color="auto" w:fill="auto"/>
            <w:noWrap/>
            <w:vAlign w:val="bottom"/>
            <w:hideMark/>
          </w:tcPr>
          <w:p w14:paraId="4F863ED8"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0.0016</w:t>
            </w:r>
          </w:p>
        </w:tc>
        <w:tc>
          <w:tcPr>
            <w:tcW w:w="1127" w:type="dxa"/>
            <w:tcBorders>
              <w:top w:val="single" w:sz="4" w:space="0" w:color="auto"/>
            </w:tcBorders>
            <w:shd w:val="clear" w:color="auto" w:fill="auto"/>
            <w:noWrap/>
            <w:vAlign w:val="bottom"/>
            <w:hideMark/>
          </w:tcPr>
          <w:p w14:paraId="6C25D16A"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0.0145</w:t>
            </w:r>
          </w:p>
        </w:tc>
      </w:tr>
      <w:tr w:rsidR="00BA22EB" w:rsidRPr="007C269D" w14:paraId="1D8A5265" w14:textId="77777777" w:rsidTr="00C85417">
        <w:trPr>
          <w:trHeight w:val="290"/>
        </w:trPr>
        <w:tc>
          <w:tcPr>
            <w:tcW w:w="3360" w:type="dxa"/>
            <w:shd w:val="clear" w:color="auto" w:fill="auto"/>
            <w:noWrap/>
            <w:vAlign w:val="center"/>
            <w:hideMark/>
          </w:tcPr>
          <w:p w14:paraId="7D0BC618"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Indirect effect through 1st med</w:t>
            </w:r>
          </w:p>
        </w:tc>
        <w:tc>
          <w:tcPr>
            <w:tcW w:w="1157" w:type="dxa"/>
            <w:shd w:val="clear" w:color="auto" w:fill="auto"/>
            <w:noWrap/>
            <w:vAlign w:val="bottom"/>
            <w:hideMark/>
          </w:tcPr>
          <w:p w14:paraId="47BB6EB9"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0.0045</w:t>
            </w:r>
          </w:p>
        </w:tc>
        <w:tc>
          <w:tcPr>
            <w:tcW w:w="1193" w:type="dxa"/>
            <w:shd w:val="clear" w:color="auto" w:fill="auto"/>
            <w:noWrap/>
            <w:vAlign w:val="bottom"/>
            <w:hideMark/>
          </w:tcPr>
          <w:p w14:paraId="7C937E4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0.0031</w:t>
            </w:r>
          </w:p>
        </w:tc>
        <w:tc>
          <w:tcPr>
            <w:tcW w:w="1462" w:type="dxa"/>
            <w:shd w:val="clear" w:color="auto" w:fill="auto"/>
            <w:noWrap/>
            <w:vAlign w:val="bottom"/>
            <w:hideMark/>
          </w:tcPr>
          <w:p w14:paraId="415F75A8"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-0.0005</w:t>
            </w:r>
          </w:p>
        </w:tc>
        <w:tc>
          <w:tcPr>
            <w:tcW w:w="1548" w:type="dxa"/>
            <w:shd w:val="clear" w:color="auto" w:fill="auto"/>
            <w:noWrap/>
            <w:vAlign w:val="bottom"/>
            <w:hideMark/>
          </w:tcPr>
          <w:p w14:paraId="0631733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0.0111</w:t>
            </w:r>
          </w:p>
        </w:tc>
        <w:tc>
          <w:tcPr>
            <w:tcW w:w="243" w:type="dxa"/>
            <w:shd w:val="clear" w:color="auto" w:fill="auto"/>
            <w:noWrap/>
            <w:vAlign w:val="bottom"/>
            <w:hideMark/>
          </w:tcPr>
          <w:p w14:paraId="321CEB61" w14:textId="77777777" w:rsidR="00BA22EB" w:rsidRPr="007C269D" w:rsidRDefault="00BA22EB" w:rsidP="00C85417">
            <w:pPr>
              <w:jc w:val="center"/>
              <w:rPr>
                <w:rFonts w:ascii="Times New Roman" w:hAnsi="Times New Roman"/>
                <w:color w:val="000000"/>
                <w:sz w:val="20"/>
                <w:szCs w:val="20"/>
              </w:rPr>
            </w:pPr>
          </w:p>
        </w:tc>
        <w:tc>
          <w:tcPr>
            <w:tcW w:w="1753" w:type="dxa"/>
            <w:shd w:val="clear" w:color="auto" w:fill="auto"/>
            <w:noWrap/>
            <w:vAlign w:val="bottom"/>
            <w:hideMark/>
          </w:tcPr>
          <w:p w14:paraId="1A7EB425"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0.0068</w:t>
            </w:r>
          </w:p>
        </w:tc>
        <w:tc>
          <w:tcPr>
            <w:tcW w:w="1068" w:type="dxa"/>
            <w:shd w:val="clear" w:color="auto" w:fill="auto"/>
            <w:noWrap/>
            <w:vAlign w:val="bottom"/>
            <w:hideMark/>
          </w:tcPr>
          <w:p w14:paraId="09D1A2FF"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0.0032</w:t>
            </w:r>
          </w:p>
        </w:tc>
        <w:tc>
          <w:tcPr>
            <w:tcW w:w="1309" w:type="dxa"/>
            <w:shd w:val="clear" w:color="auto" w:fill="auto"/>
            <w:noWrap/>
            <w:vAlign w:val="bottom"/>
            <w:hideMark/>
          </w:tcPr>
          <w:p w14:paraId="4A66C2EA"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0.0016</w:t>
            </w:r>
          </w:p>
        </w:tc>
        <w:tc>
          <w:tcPr>
            <w:tcW w:w="1127" w:type="dxa"/>
            <w:shd w:val="clear" w:color="auto" w:fill="auto"/>
            <w:noWrap/>
            <w:vAlign w:val="bottom"/>
            <w:hideMark/>
          </w:tcPr>
          <w:p w14:paraId="63506046"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0.0138</w:t>
            </w:r>
          </w:p>
        </w:tc>
      </w:tr>
      <w:tr w:rsidR="00BA22EB" w:rsidRPr="007C269D" w14:paraId="20641C2D" w14:textId="77777777" w:rsidTr="00C85417">
        <w:trPr>
          <w:trHeight w:val="290"/>
        </w:trPr>
        <w:tc>
          <w:tcPr>
            <w:tcW w:w="3360" w:type="dxa"/>
            <w:shd w:val="clear" w:color="auto" w:fill="auto"/>
            <w:noWrap/>
            <w:vAlign w:val="center"/>
            <w:hideMark/>
          </w:tcPr>
          <w:p w14:paraId="5E87B4EC"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Indirect effect through 2nd med</w:t>
            </w:r>
          </w:p>
        </w:tc>
        <w:tc>
          <w:tcPr>
            <w:tcW w:w="1157" w:type="dxa"/>
            <w:shd w:val="clear" w:color="auto" w:fill="auto"/>
            <w:noWrap/>
            <w:vAlign w:val="bottom"/>
            <w:hideMark/>
          </w:tcPr>
          <w:p w14:paraId="17349F79"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0.0041</w:t>
            </w:r>
          </w:p>
        </w:tc>
        <w:tc>
          <w:tcPr>
            <w:tcW w:w="1193" w:type="dxa"/>
            <w:shd w:val="clear" w:color="auto" w:fill="auto"/>
            <w:noWrap/>
            <w:vAlign w:val="bottom"/>
            <w:hideMark/>
          </w:tcPr>
          <w:p w14:paraId="58D6A159"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0.0032</w:t>
            </w:r>
          </w:p>
        </w:tc>
        <w:tc>
          <w:tcPr>
            <w:tcW w:w="1462" w:type="dxa"/>
            <w:shd w:val="clear" w:color="auto" w:fill="auto"/>
            <w:noWrap/>
            <w:vAlign w:val="bottom"/>
            <w:hideMark/>
          </w:tcPr>
          <w:p w14:paraId="3CF8BC9B"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-0.0016</w:t>
            </w:r>
          </w:p>
        </w:tc>
        <w:tc>
          <w:tcPr>
            <w:tcW w:w="1548" w:type="dxa"/>
            <w:shd w:val="clear" w:color="auto" w:fill="auto"/>
            <w:noWrap/>
            <w:vAlign w:val="bottom"/>
            <w:hideMark/>
          </w:tcPr>
          <w:p w14:paraId="2D686804"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0.0109</w:t>
            </w:r>
          </w:p>
        </w:tc>
        <w:tc>
          <w:tcPr>
            <w:tcW w:w="243" w:type="dxa"/>
            <w:shd w:val="clear" w:color="auto" w:fill="auto"/>
            <w:noWrap/>
            <w:vAlign w:val="bottom"/>
            <w:hideMark/>
          </w:tcPr>
          <w:p w14:paraId="196B35E6" w14:textId="77777777" w:rsidR="00BA22EB" w:rsidRPr="007C269D" w:rsidRDefault="00BA22EB" w:rsidP="00C85417">
            <w:pPr>
              <w:jc w:val="center"/>
              <w:rPr>
                <w:rFonts w:ascii="Times New Roman" w:hAnsi="Times New Roman"/>
                <w:color w:val="000000"/>
                <w:sz w:val="20"/>
                <w:szCs w:val="20"/>
              </w:rPr>
            </w:pPr>
          </w:p>
        </w:tc>
        <w:tc>
          <w:tcPr>
            <w:tcW w:w="1753" w:type="dxa"/>
            <w:shd w:val="clear" w:color="auto" w:fill="auto"/>
            <w:noWrap/>
            <w:vAlign w:val="bottom"/>
            <w:hideMark/>
          </w:tcPr>
          <w:p w14:paraId="40FF873B"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0.0015</w:t>
            </w:r>
          </w:p>
        </w:tc>
        <w:tc>
          <w:tcPr>
            <w:tcW w:w="1068" w:type="dxa"/>
            <w:shd w:val="clear" w:color="auto" w:fill="auto"/>
            <w:noWrap/>
            <w:vAlign w:val="bottom"/>
            <w:hideMark/>
          </w:tcPr>
          <w:p w14:paraId="25F3B1A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0.0016</w:t>
            </w:r>
          </w:p>
        </w:tc>
        <w:tc>
          <w:tcPr>
            <w:tcW w:w="1309" w:type="dxa"/>
            <w:shd w:val="clear" w:color="auto" w:fill="auto"/>
            <w:noWrap/>
            <w:vAlign w:val="bottom"/>
            <w:hideMark/>
          </w:tcPr>
          <w:p w14:paraId="10F26D78"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-0.0009</w:t>
            </w:r>
          </w:p>
        </w:tc>
        <w:tc>
          <w:tcPr>
            <w:tcW w:w="1127" w:type="dxa"/>
            <w:shd w:val="clear" w:color="auto" w:fill="auto"/>
            <w:noWrap/>
            <w:vAlign w:val="bottom"/>
            <w:hideMark/>
          </w:tcPr>
          <w:p w14:paraId="3F5E515C"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0.0055</w:t>
            </w:r>
          </w:p>
        </w:tc>
      </w:tr>
      <w:tr w:rsidR="00BA22EB" w:rsidRPr="007C269D" w14:paraId="0BA187C3" w14:textId="77777777" w:rsidTr="00C85417">
        <w:trPr>
          <w:trHeight w:val="290"/>
        </w:trPr>
        <w:tc>
          <w:tcPr>
            <w:tcW w:w="3360" w:type="dxa"/>
            <w:tcBorders>
              <w:bottom w:val="single" w:sz="4" w:space="0" w:color="auto"/>
            </w:tcBorders>
            <w:shd w:val="clear" w:color="auto" w:fill="auto"/>
            <w:noWrap/>
            <w:vAlign w:val="center"/>
            <w:hideMark/>
          </w:tcPr>
          <w:p w14:paraId="3B99B773"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Serial mediation effect</w:t>
            </w:r>
          </w:p>
        </w:tc>
        <w:tc>
          <w:tcPr>
            <w:tcW w:w="1157" w:type="dxa"/>
            <w:tcBorders>
              <w:bottom w:val="single" w:sz="4" w:space="0" w:color="auto"/>
            </w:tcBorders>
            <w:shd w:val="clear" w:color="auto" w:fill="auto"/>
            <w:noWrap/>
            <w:vAlign w:val="bottom"/>
            <w:hideMark/>
          </w:tcPr>
          <w:p w14:paraId="131F8D19"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0.0012</w:t>
            </w:r>
          </w:p>
        </w:tc>
        <w:tc>
          <w:tcPr>
            <w:tcW w:w="1193" w:type="dxa"/>
            <w:tcBorders>
              <w:bottom w:val="single" w:sz="4" w:space="0" w:color="auto"/>
            </w:tcBorders>
            <w:shd w:val="clear" w:color="auto" w:fill="auto"/>
            <w:noWrap/>
            <w:vAlign w:val="bottom"/>
            <w:hideMark/>
          </w:tcPr>
          <w:p w14:paraId="3C74B526"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0.0009</w:t>
            </w:r>
          </w:p>
        </w:tc>
        <w:tc>
          <w:tcPr>
            <w:tcW w:w="1462" w:type="dxa"/>
            <w:tcBorders>
              <w:bottom w:val="single" w:sz="4" w:space="0" w:color="auto"/>
            </w:tcBorders>
            <w:shd w:val="clear" w:color="auto" w:fill="auto"/>
            <w:noWrap/>
            <w:vAlign w:val="bottom"/>
            <w:hideMark/>
          </w:tcPr>
          <w:p w14:paraId="64564E11" w14:textId="77777777" w:rsidR="00BA22EB" w:rsidRPr="007C269D" w:rsidRDefault="00BA22EB" w:rsidP="00C85417">
            <w:pPr>
              <w:jc w:val="center"/>
              <w:rPr>
                <w:rFonts w:ascii="Times New Roman" w:hAnsi="Times New Roman"/>
                <w:b/>
                <w:bCs/>
                <w:color w:val="000000"/>
                <w:sz w:val="20"/>
                <w:szCs w:val="20"/>
              </w:rPr>
            </w:pPr>
            <w:r w:rsidRPr="007C269D">
              <w:rPr>
                <w:rFonts w:ascii="Times New Roman" w:hAnsi="Times New Roman"/>
                <w:color w:val="000000"/>
                <w:sz w:val="20"/>
                <w:szCs w:val="20"/>
              </w:rPr>
              <w:t>-0.0005</w:t>
            </w:r>
          </w:p>
        </w:tc>
        <w:tc>
          <w:tcPr>
            <w:tcW w:w="1548" w:type="dxa"/>
            <w:tcBorders>
              <w:bottom w:val="single" w:sz="4" w:space="0" w:color="auto"/>
            </w:tcBorders>
            <w:shd w:val="clear" w:color="auto" w:fill="auto"/>
            <w:noWrap/>
            <w:vAlign w:val="bottom"/>
            <w:hideMark/>
          </w:tcPr>
          <w:p w14:paraId="5DFDC528" w14:textId="77777777" w:rsidR="00BA22EB" w:rsidRPr="007C269D" w:rsidRDefault="00BA22EB" w:rsidP="00C85417">
            <w:pPr>
              <w:jc w:val="center"/>
              <w:rPr>
                <w:rFonts w:ascii="Times New Roman" w:hAnsi="Times New Roman"/>
                <w:b/>
                <w:bCs/>
                <w:color w:val="000000"/>
                <w:sz w:val="20"/>
                <w:szCs w:val="20"/>
              </w:rPr>
            </w:pPr>
            <w:r w:rsidRPr="007C269D">
              <w:rPr>
                <w:rFonts w:ascii="Times New Roman" w:hAnsi="Times New Roman"/>
                <w:color w:val="000000"/>
                <w:sz w:val="20"/>
                <w:szCs w:val="20"/>
              </w:rPr>
              <w:t>0.0032</w:t>
            </w:r>
          </w:p>
        </w:tc>
        <w:tc>
          <w:tcPr>
            <w:tcW w:w="243" w:type="dxa"/>
            <w:tcBorders>
              <w:bottom w:val="single" w:sz="4" w:space="0" w:color="auto"/>
            </w:tcBorders>
            <w:shd w:val="clear" w:color="auto" w:fill="auto"/>
            <w:noWrap/>
            <w:vAlign w:val="bottom"/>
            <w:hideMark/>
          </w:tcPr>
          <w:p w14:paraId="6B816758" w14:textId="77777777" w:rsidR="00BA22EB" w:rsidRPr="007C269D" w:rsidRDefault="00BA22EB" w:rsidP="00C85417">
            <w:pPr>
              <w:jc w:val="center"/>
              <w:rPr>
                <w:rFonts w:ascii="Times New Roman" w:hAnsi="Times New Roman"/>
                <w:color w:val="000000"/>
                <w:sz w:val="20"/>
                <w:szCs w:val="20"/>
              </w:rPr>
            </w:pPr>
          </w:p>
        </w:tc>
        <w:tc>
          <w:tcPr>
            <w:tcW w:w="1753" w:type="dxa"/>
            <w:tcBorders>
              <w:bottom w:val="single" w:sz="4" w:space="0" w:color="auto"/>
            </w:tcBorders>
            <w:shd w:val="clear" w:color="auto" w:fill="auto"/>
            <w:noWrap/>
            <w:vAlign w:val="bottom"/>
            <w:hideMark/>
          </w:tcPr>
          <w:p w14:paraId="5E6696AD"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-0.0011</w:t>
            </w:r>
          </w:p>
        </w:tc>
        <w:tc>
          <w:tcPr>
            <w:tcW w:w="1068" w:type="dxa"/>
            <w:tcBorders>
              <w:bottom w:val="single" w:sz="4" w:space="0" w:color="auto"/>
            </w:tcBorders>
            <w:shd w:val="clear" w:color="auto" w:fill="auto"/>
            <w:noWrap/>
            <w:vAlign w:val="bottom"/>
            <w:hideMark/>
          </w:tcPr>
          <w:p w14:paraId="20AF407E"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0.0008</w:t>
            </w:r>
          </w:p>
        </w:tc>
        <w:tc>
          <w:tcPr>
            <w:tcW w:w="1309" w:type="dxa"/>
            <w:tcBorders>
              <w:bottom w:val="single" w:sz="4" w:space="0" w:color="auto"/>
            </w:tcBorders>
            <w:shd w:val="clear" w:color="auto" w:fill="auto"/>
            <w:noWrap/>
            <w:vAlign w:val="bottom"/>
            <w:hideMark/>
          </w:tcPr>
          <w:p w14:paraId="7E49ECD9" w14:textId="77777777" w:rsidR="00BA22EB" w:rsidRPr="007C269D" w:rsidRDefault="00BA22EB" w:rsidP="00C85417">
            <w:pPr>
              <w:jc w:val="center"/>
              <w:rPr>
                <w:rFonts w:ascii="Times New Roman" w:hAnsi="Times New Roman"/>
                <w:b/>
                <w:bCs/>
                <w:color w:val="000000"/>
                <w:sz w:val="20"/>
                <w:szCs w:val="20"/>
              </w:rPr>
            </w:pPr>
            <w:r w:rsidRPr="007C269D">
              <w:rPr>
                <w:rFonts w:ascii="Times New Roman" w:hAnsi="Times New Roman"/>
                <w:color w:val="000000"/>
                <w:sz w:val="20"/>
                <w:szCs w:val="20"/>
              </w:rPr>
              <w:t>-0.003</w:t>
            </w:r>
          </w:p>
        </w:tc>
        <w:tc>
          <w:tcPr>
            <w:tcW w:w="1127" w:type="dxa"/>
            <w:tcBorders>
              <w:bottom w:val="single" w:sz="4" w:space="0" w:color="auto"/>
            </w:tcBorders>
            <w:shd w:val="clear" w:color="auto" w:fill="auto"/>
            <w:noWrap/>
            <w:vAlign w:val="bottom"/>
            <w:hideMark/>
          </w:tcPr>
          <w:p w14:paraId="7510412E" w14:textId="77777777" w:rsidR="00BA22EB" w:rsidRPr="007C269D" w:rsidRDefault="00BA22EB" w:rsidP="00C85417">
            <w:pPr>
              <w:jc w:val="center"/>
              <w:rPr>
                <w:rFonts w:ascii="Times New Roman" w:hAnsi="Times New Roman"/>
                <w:b/>
                <w:bCs/>
                <w:color w:val="000000"/>
                <w:sz w:val="20"/>
                <w:szCs w:val="20"/>
              </w:rPr>
            </w:pPr>
            <w:r w:rsidRPr="007C269D">
              <w:rPr>
                <w:rFonts w:ascii="Times New Roman" w:hAnsi="Times New Roman"/>
                <w:color w:val="000000"/>
                <w:sz w:val="20"/>
                <w:szCs w:val="20"/>
              </w:rPr>
              <w:t>0.0003</w:t>
            </w:r>
          </w:p>
        </w:tc>
      </w:tr>
    </w:tbl>
    <w:p w14:paraId="4EE1F5AB" w14:textId="50CA26CA" w:rsidR="00BA22EB" w:rsidRDefault="00BA22EB" w:rsidP="00BA22EB">
      <w:pPr>
        <w:spacing w:after="160" w:line="480" w:lineRule="auto"/>
        <w:rPr>
          <w:rFonts w:ascii="Times New Roman" w:eastAsia="Calibri" w:hAnsi="Times New Roman"/>
          <w:sz w:val="20"/>
          <w:szCs w:val="20"/>
          <w:lang w:val="en-CA"/>
        </w:rPr>
      </w:pPr>
    </w:p>
    <w:p w14:paraId="6644FF35" w14:textId="77777777" w:rsidR="005F3E74" w:rsidRPr="007C269D" w:rsidRDefault="005F3E74" w:rsidP="005F3E74">
      <w:pPr>
        <w:rPr>
          <w:rFonts w:ascii="Times New Roman" w:eastAsia="Calibri" w:hAnsi="Times New Roman"/>
          <w:sz w:val="20"/>
          <w:szCs w:val="20"/>
          <w:lang w:val="en-CA"/>
        </w:rPr>
      </w:pPr>
      <w:r w:rsidRPr="007C269D">
        <w:rPr>
          <w:rFonts w:ascii="Times New Roman" w:eastAsia="Calibri" w:hAnsi="Times New Roman"/>
          <w:sz w:val="20"/>
          <w:szCs w:val="20"/>
          <w:lang w:val="en-CA"/>
        </w:rPr>
        <w:t>Exploratory analyses</w:t>
      </w:r>
    </w:p>
    <w:tbl>
      <w:tblPr>
        <w:tblW w:w="14220" w:type="dxa"/>
        <w:tblLook w:val="04A0" w:firstRow="1" w:lastRow="0" w:firstColumn="1" w:lastColumn="0" w:noHBand="0" w:noVBand="1"/>
      </w:tblPr>
      <w:tblGrid>
        <w:gridCol w:w="3360"/>
        <w:gridCol w:w="1157"/>
        <w:gridCol w:w="1193"/>
        <w:gridCol w:w="1462"/>
        <w:gridCol w:w="1548"/>
        <w:gridCol w:w="243"/>
        <w:gridCol w:w="1753"/>
        <w:gridCol w:w="1068"/>
        <w:gridCol w:w="1309"/>
        <w:gridCol w:w="1127"/>
      </w:tblGrid>
      <w:tr w:rsidR="00BA22EB" w:rsidRPr="007C269D" w14:paraId="4771A70D" w14:textId="77777777" w:rsidTr="00C85417">
        <w:trPr>
          <w:trHeight w:val="290"/>
        </w:trPr>
        <w:tc>
          <w:tcPr>
            <w:tcW w:w="3360" w:type="dxa"/>
            <w:shd w:val="clear" w:color="auto" w:fill="auto"/>
            <w:noWrap/>
            <w:vAlign w:val="center"/>
            <w:hideMark/>
          </w:tcPr>
          <w:p w14:paraId="4D9A72F1" w14:textId="77777777" w:rsidR="00BA22EB" w:rsidRPr="007C269D" w:rsidRDefault="00BA22EB" w:rsidP="00C85417">
            <w:pPr>
              <w:jc w:val="center"/>
              <w:rPr>
                <w:rFonts w:ascii="Times New Roman" w:hAnsi="Times New Roman"/>
                <w:sz w:val="20"/>
                <w:szCs w:val="20"/>
              </w:rPr>
            </w:pPr>
          </w:p>
        </w:tc>
        <w:tc>
          <w:tcPr>
            <w:tcW w:w="5360" w:type="dxa"/>
            <w:gridSpan w:val="4"/>
            <w:tcBorders>
              <w:bottom w:val="single" w:sz="4" w:space="0" w:color="auto"/>
            </w:tcBorders>
            <w:shd w:val="clear" w:color="auto" w:fill="auto"/>
            <w:noWrap/>
            <w:vAlign w:val="center"/>
            <w:hideMark/>
          </w:tcPr>
          <w:p w14:paraId="39386EE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Precommitment -&gt; Used math? -&gt; Is math useful? -&gt; Investment proportion</w:t>
            </w:r>
          </w:p>
        </w:tc>
        <w:tc>
          <w:tcPr>
            <w:tcW w:w="243" w:type="dxa"/>
            <w:tcBorders>
              <w:bottom w:val="single" w:sz="4" w:space="0" w:color="auto"/>
            </w:tcBorders>
            <w:shd w:val="clear" w:color="auto" w:fill="auto"/>
            <w:noWrap/>
            <w:vAlign w:val="center"/>
            <w:hideMark/>
          </w:tcPr>
          <w:p w14:paraId="450273B9" w14:textId="77777777" w:rsidR="00BA22EB" w:rsidRPr="007C269D" w:rsidRDefault="00BA22EB" w:rsidP="00C85417">
            <w:pPr>
              <w:jc w:val="center"/>
              <w:rPr>
                <w:rFonts w:ascii="Times New Roman" w:hAnsi="Times New Roman"/>
                <w:color w:val="000000"/>
                <w:sz w:val="20"/>
                <w:szCs w:val="20"/>
              </w:rPr>
            </w:pPr>
          </w:p>
        </w:tc>
        <w:tc>
          <w:tcPr>
            <w:tcW w:w="5257" w:type="dxa"/>
            <w:gridSpan w:val="4"/>
            <w:tcBorders>
              <w:bottom w:val="single" w:sz="4" w:space="0" w:color="auto"/>
            </w:tcBorders>
            <w:shd w:val="clear" w:color="auto" w:fill="auto"/>
            <w:noWrap/>
            <w:vAlign w:val="center"/>
            <w:hideMark/>
          </w:tcPr>
          <w:p w14:paraId="0A1E4CB6"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Precommitment -&gt; Follow plan? -&gt; Is math useful? -&gt; Investment proportion</w:t>
            </w:r>
          </w:p>
        </w:tc>
      </w:tr>
      <w:tr w:rsidR="00BA22EB" w:rsidRPr="007C269D" w14:paraId="40C0631D" w14:textId="77777777" w:rsidTr="00C85417">
        <w:trPr>
          <w:trHeight w:val="290"/>
        </w:trPr>
        <w:tc>
          <w:tcPr>
            <w:tcW w:w="3360" w:type="dxa"/>
            <w:shd w:val="clear" w:color="auto" w:fill="auto"/>
            <w:noWrap/>
            <w:vAlign w:val="center"/>
            <w:hideMark/>
          </w:tcPr>
          <w:p w14:paraId="6E227BC1" w14:textId="77777777" w:rsidR="00BA22EB" w:rsidRPr="007C269D" w:rsidRDefault="00BA22EB" w:rsidP="00C85417">
            <w:pPr>
              <w:jc w:val="center"/>
              <w:rPr>
                <w:rFonts w:ascii="Times New Roman" w:hAnsi="Times New Roman"/>
                <w:color w:val="000000"/>
                <w:sz w:val="20"/>
                <w:szCs w:val="20"/>
              </w:rPr>
            </w:pPr>
          </w:p>
        </w:tc>
        <w:tc>
          <w:tcPr>
            <w:tcW w:w="1157" w:type="dxa"/>
            <w:tcBorders>
              <w:top w:val="single" w:sz="4" w:space="0" w:color="auto"/>
              <w:bottom w:val="single" w:sz="4" w:space="0" w:color="auto"/>
            </w:tcBorders>
            <w:shd w:val="clear" w:color="auto" w:fill="auto"/>
            <w:noWrap/>
            <w:vAlign w:val="center"/>
            <w:hideMark/>
          </w:tcPr>
          <w:p w14:paraId="3BF299BE"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Effect</w:t>
            </w:r>
          </w:p>
        </w:tc>
        <w:tc>
          <w:tcPr>
            <w:tcW w:w="1193" w:type="dxa"/>
            <w:tcBorders>
              <w:top w:val="single" w:sz="4" w:space="0" w:color="auto"/>
              <w:bottom w:val="single" w:sz="4" w:space="0" w:color="auto"/>
            </w:tcBorders>
            <w:shd w:val="clear" w:color="auto" w:fill="auto"/>
            <w:noWrap/>
            <w:vAlign w:val="center"/>
            <w:hideMark/>
          </w:tcPr>
          <w:p w14:paraId="6500E6F6"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SE</w:t>
            </w:r>
          </w:p>
        </w:tc>
        <w:tc>
          <w:tcPr>
            <w:tcW w:w="1462" w:type="dxa"/>
            <w:tcBorders>
              <w:top w:val="single" w:sz="4" w:space="0" w:color="auto"/>
              <w:bottom w:val="single" w:sz="4" w:space="0" w:color="auto"/>
            </w:tcBorders>
            <w:shd w:val="clear" w:color="auto" w:fill="auto"/>
            <w:noWrap/>
            <w:vAlign w:val="center"/>
            <w:hideMark/>
          </w:tcPr>
          <w:p w14:paraId="6EA95C8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LLCI</w:t>
            </w:r>
          </w:p>
        </w:tc>
        <w:tc>
          <w:tcPr>
            <w:tcW w:w="1548" w:type="dxa"/>
            <w:tcBorders>
              <w:top w:val="single" w:sz="4" w:space="0" w:color="auto"/>
              <w:bottom w:val="single" w:sz="4" w:space="0" w:color="auto"/>
            </w:tcBorders>
            <w:shd w:val="clear" w:color="auto" w:fill="auto"/>
            <w:noWrap/>
            <w:vAlign w:val="center"/>
            <w:hideMark/>
          </w:tcPr>
          <w:p w14:paraId="724ECBB4"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ULCI</w:t>
            </w:r>
          </w:p>
        </w:tc>
        <w:tc>
          <w:tcPr>
            <w:tcW w:w="243" w:type="dxa"/>
            <w:tcBorders>
              <w:top w:val="single" w:sz="4" w:space="0" w:color="auto"/>
              <w:bottom w:val="single" w:sz="4" w:space="0" w:color="auto"/>
            </w:tcBorders>
            <w:shd w:val="clear" w:color="auto" w:fill="auto"/>
            <w:noWrap/>
            <w:vAlign w:val="center"/>
            <w:hideMark/>
          </w:tcPr>
          <w:p w14:paraId="53E9A88F" w14:textId="77777777" w:rsidR="00BA22EB" w:rsidRPr="007C269D" w:rsidRDefault="00BA22EB" w:rsidP="00C85417">
            <w:pPr>
              <w:jc w:val="center"/>
              <w:rPr>
                <w:rFonts w:ascii="Times New Roman" w:hAnsi="Times New Roman"/>
                <w:color w:val="000000"/>
                <w:sz w:val="20"/>
                <w:szCs w:val="20"/>
              </w:rPr>
            </w:pPr>
          </w:p>
        </w:tc>
        <w:tc>
          <w:tcPr>
            <w:tcW w:w="1753" w:type="dxa"/>
            <w:tcBorders>
              <w:top w:val="single" w:sz="4" w:space="0" w:color="auto"/>
              <w:bottom w:val="single" w:sz="4" w:space="0" w:color="auto"/>
            </w:tcBorders>
            <w:shd w:val="clear" w:color="auto" w:fill="auto"/>
            <w:noWrap/>
            <w:vAlign w:val="center"/>
            <w:hideMark/>
          </w:tcPr>
          <w:p w14:paraId="45F44CA4"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Effect</w:t>
            </w:r>
          </w:p>
        </w:tc>
        <w:tc>
          <w:tcPr>
            <w:tcW w:w="1068" w:type="dxa"/>
            <w:tcBorders>
              <w:top w:val="single" w:sz="4" w:space="0" w:color="auto"/>
              <w:bottom w:val="single" w:sz="4" w:space="0" w:color="auto"/>
            </w:tcBorders>
            <w:shd w:val="clear" w:color="auto" w:fill="auto"/>
            <w:noWrap/>
            <w:vAlign w:val="center"/>
            <w:hideMark/>
          </w:tcPr>
          <w:p w14:paraId="482D0F7C"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SE</w:t>
            </w:r>
          </w:p>
        </w:tc>
        <w:tc>
          <w:tcPr>
            <w:tcW w:w="1309" w:type="dxa"/>
            <w:tcBorders>
              <w:top w:val="single" w:sz="4" w:space="0" w:color="auto"/>
              <w:bottom w:val="single" w:sz="4" w:space="0" w:color="auto"/>
            </w:tcBorders>
            <w:shd w:val="clear" w:color="auto" w:fill="auto"/>
            <w:noWrap/>
            <w:vAlign w:val="center"/>
            <w:hideMark/>
          </w:tcPr>
          <w:p w14:paraId="03B7F51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LLCI</w:t>
            </w:r>
          </w:p>
        </w:tc>
        <w:tc>
          <w:tcPr>
            <w:tcW w:w="1127" w:type="dxa"/>
            <w:tcBorders>
              <w:top w:val="single" w:sz="4" w:space="0" w:color="auto"/>
              <w:bottom w:val="single" w:sz="4" w:space="0" w:color="auto"/>
            </w:tcBorders>
            <w:shd w:val="clear" w:color="auto" w:fill="auto"/>
            <w:noWrap/>
            <w:vAlign w:val="center"/>
            <w:hideMark/>
          </w:tcPr>
          <w:p w14:paraId="43417208"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ULCI</w:t>
            </w:r>
          </w:p>
        </w:tc>
      </w:tr>
      <w:tr w:rsidR="00BA22EB" w:rsidRPr="007C269D" w14:paraId="3CBB80D5" w14:textId="77777777" w:rsidTr="00C85417">
        <w:trPr>
          <w:trHeight w:val="290"/>
        </w:trPr>
        <w:tc>
          <w:tcPr>
            <w:tcW w:w="3360" w:type="dxa"/>
            <w:shd w:val="clear" w:color="auto" w:fill="auto"/>
            <w:noWrap/>
            <w:vAlign w:val="center"/>
            <w:hideMark/>
          </w:tcPr>
          <w:p w14:paraId="2FA730F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TOTAL effect</w:t>
            </w:r>
          </w:p>
        </w:tc>
        <w:tc>
          <w:tcPr>
            <w:tcW w:w="1157" w:type="dxa"/>
            <w:tcBorders>
              <w:top w:val="single" w:sz="4" w:space="0" w:color="auto"/>
            </w:tcBorders>
            <w:shd w:val="clear" w:color="auto" w:fill="auto"/>
            <w:noWrap/>
            <w:vAlign w:val="bottom"/>
            <w:hideMark/>
          </w:tcPr>
          <w:p w14:paraId="3C0D6C7C"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0.0076</w:t>
            </w:r>
          </w:p>
        </w:tc>
        <w:tc>
          <w:tcPr>
            <w:tcW w:w="1193" w:type="dxa"/>
            <w:tcBorders>
              <w:top w:val="single" w:sz="4" w:space="0" w:color="auto"/>
            </w:tcBorders>
            <w:shd w:val="clear" w:color="auto" w:fill="auto"/>
            <w:noWrap/>
            <w:vAlign w:val="bottom"/>
            <w:hideMark/>
          </w:tcPr>
          <w:p w14:paraId="6A07B034"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0.0046</w:t>
            </w:r>
          </w:p>
        </w:tc>
        <w:tc>
          <w:tcPr>
            <w:tcW w:w="1462" w:type="dxa"/>
            <w:tcBorders>
              <w:top w:val="single" w:sz="4" w:space="0" w:color="auto"/>
            </w:tcBorders>
            <w:shd w:val="clear" w:color="auto" w:fill="auto"/>
            <w:noWrap/>
            <w:vAlign w:val="bottom"/>
            <w:hideMark/>
          </w:tcPr>
          <w:p w14:paraId="43FFAEF4"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-0.0007</w:t>
            </w:r>
          </w:p>
        </w:tc>
        <w:tc>
          <w:tcPr>
            <w:tcW w:w="1548" w:type="dxa"/>
            <w:tcBorders>
              <w:top w:val="single" w:sz="4" w:space="0" w:color="auto"/>
            </w:tcBorders>
            <w:shd w:val="clear" w:color="auto" w:fill="auto"/>
            <w:noWrap/>
            <w:vAlign w:val="bottom"/>
            <w:hideMark/>
          </w:tcPr>
          <w:p w14:paraId="42E7AE57"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0.0173</w:t>
            </w:r>
          </w:p>
        </w:tc>
        <w:tc>
          <w:tcPr>
            <w:tcW w:w="243" w:type="dxa"/>
            <w:tcBorders>
              <w:top w:val="single" w:sz="4" w:space="0" w:color="auto"/>
            </w:tcBorders>
            <w:shd w:val="clear" w:color="auto" w:fill="auto"/>
            <w:noWrap/>
            <w:vAlign w:val="bottom"/>
            <w:hideMark/>
          </w:tcPr>
          <w:p w14:paraId="4D18286E" w14:textId="77777777" w:rsidR="00BA22EB" w:rsidRPr="007C269D" w:rsidRDefault="00BA22EB" w:rsidP="00C85417">
            <w:pPr>
              <w:jc w:val="center"/>
              <w:rPr>
                <w:rFonts w:ascii="Times New Roman" w:hAnsi="Times New Roman"/>
                <w:color w:val="000000"/>
                <w:sz w:val="20"/>
                <w:szCs w:val="20"/>
              </w:rPr>
            </w:pPr>
          </w:p>
        </w:tc>
        <w:tc>
          <w:tcPr>
            <w:tcW w:w="1753" w:type="dxa"/>
            <w:tcBorders>
              <w:top w:val="single" w:sz="4" w:space="0" w:color="auto"/>
            </w:tcBorders>
            <w:shd w:val="clear" w:color="auto" w:fill="auto"/>
            <w:noWrap/>
            <w:vAlign w:val="bottom"/>
            <w:hideMark/>
          </w:tcPr>
          <w:p w14:paraId="32D3E239"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0.0096</w:t>
            </w:r>
          </w:p>
        </w:tc>
        <w:tc>
          <w:tcPr>
            <w:tcW w:w="1068" w:type="dxa"/>
            <w:tcBorders>
              <w:top w:val="single" w:sz="4" w:space="0" w:color="auto"/>
            </w:tcBorders>
            <w:shd w:val="clear" w:color="auto" w:fill="auto"/>
            <w:noWrap/>
            <w:vAlign w:val="bottom"/>
            <w:hideMark/>
          </w:tcPr>
          <w:p w14:paraId="059A6B85"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0.0042</w:t>
            </w:r>
          </w:p>
        </w:tc>
        <w:tc>
          <w:tcPr>
            <w:tcW w:w="1309" w:type="dxa"/>
            <w:tcBorders>
              <w:top w:val="single" w:sz="4" w:space="0" w:color="auto"/>
            </w:tcBorders>
            <w:shd w:val="clear" w:color="auto" w:fill="auto"/>
            <w:noWrap/>
            <w:vAlign w:val="bottom"/>
            <w:hideMark/>
          </w:tcPr>
          <w:p w14:paraId="101B736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0.0026</w:t>
            </w:r>
          </w:p>
        </w:tc>
        <w:tc>
          <w:tcPr>
            <w:tcW w:w="1127" w:type="dxa"/>
            <w:tcBorders>
              <w:top w:val="single" w:sz="4" w:space="0" w:color="auto"/>
            </w:tcBorders>
            <w:shd w:val="clear" w:color="auto" w:fill="auto"/>
            <w:noWrap/>
            <w:vAlign w:val="bottom"/>
            <w:hideMark/>
          </w:tcPr>
          <w:p w14:paraId="0826349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0.0186</w:t>
            </w:r>
          </w:p>
        </w:tc>
      </w:tr>
      <w:tr w:rsidR="00BA22EB" w:rsidRPr="007C269D" w14:paraId="62C1FE31" w14:textId="77777777" w:rsidTr="00C85417">
        <w:trPr>
          <w:trHeight w:val="290"/>
        </w:trPr>
        <w:tc>
          <w:tcPr>
            <w:tcW w:w="3360" w:type="dxa"/>
            <w:shd w:val="clear" w:color="auto" w:fill="auto"/>
            <w:noWrap/>
            <w:vAlign w:val="center"/>
            <w:hideMark/>
          </w:tcPr>
          <w:p w14:paraId="004A4346"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Indirect effect through 1st med</w:t>
            </w:r>
          </w:p>
        </w:tc>
        <w:tc>
          <w:tcPr>
            <w:tcW w:w="1157" w:type="dxa"/>
            <w:shd w:val="clear" w:color="auto" w:fill="auto"/>
            <w:noWrap/>
            <w:vAlign w:val="bottom"/>
            <w:hideMark/>
          </w:tcPr>
          <w:p w14:paraId="3C038A6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0.0011</w:t>
            </w:r>
          </w:p>
        </w:tc>
        <w:tc>
          <w:tcPr>
            <w:tcW w:w="1193" w:type="dxa"/>
            <w:shd w:val="clear" w:color="auto" w:fill="auto"/>
            <w:noWrap/>
            <w:vAlign w:val="bottom"/>
            <w:hideMark/>
          </w:tcPr>
          <w:p w14:paraId="6EE07CAF"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0.0044</w:t>
            </w:r>
          </w:p>
        </w:tc>
        <w:tc>
          <w:tcPr>
            <w:tcW w:w="1462" w:type="dxa"/>
            <w:shd w:val="clear" w:color="auto" w:fill="auto"/>
            <w:noWrap/>
            <w:vAlign w:val="bottom"/>
            <w:hideMark/>
          </w:tcPr>
          <w:p w14:paraId="351C3ECF"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-0.0079</w:t>
            </w:r>
          </w:p>
        </w:tc>
        <w:tc>
          <w:tcPr>
            <w:tcW w:w="1548" w:type="dxa"/>
            <w:shd w:val="clear" w:color="auto" w:fill="auto"/>
            <w:noWrap/>
            <w:vAlign w:val="bottom"/>
            <w:hideMark/>
          </w:tcPr>
          <w:p w14:paraId="17A26125"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0.0104</w:t>
            </w:r>
          </w:p>
        </w:tc>
        <w:tc>
          <w:tcPr>
            <w:tcW w:w="243" w:type="dxa"/>
            <w:shd w:val="clear" w:color="auto" w:fill="auto"/>
            <w:noWrap/>
            <w:vAlign w:val="bottom"/>
            <w:hideMark/>
          </w:tcPr>
          <w:p w14:paraId="4B758907" w14:textId="77777777" w:rsidR="00BA22EB" w:rsidRPr="007C269D" w:rsidRDefault="00BA22EB" w:rsidP="00C85417">
            <w:pPr>
              <w:jc w:val="center"/>
              <w:rPr>
                <w:rFonts w:ascii="Times New Roman" w:hAnsi="Times New Roman"/>
                <w:color w:val="000000"/>
                <w:sz w:val="20"/>
                <w:szCs w:val="20"/>
              </w:rPr>
            </w:pPr>
          </w:p>
        </w:tc>
        <w:tc>
          <w:tcPr>
            <w:tcW w:w="1753" w:type="dxa"/>
            <w:shd w:val="clear" w:color="auto" w:fill="auto"/>
            <w:noWrap/>
            <w:vAlign w:val="bottom"/>
            <w:hideMark/>
          </w:tcPr>
          <w:p w14:paraId="7716C168"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0.0035</w:t>
            </w:r>
          </w:p>
        </w:tc>
        <w:tc>
          <w:tcPr>
            <w:tcW w:w="1068" w:type="dxa"/>
            <w:shd w:val="clear" w:color="auto" w:fill="auto"/>
            <w:noWrap/>
            <w:vAlign w:val="bottom"/>
            <w:hideMark/>
          </w:tcPr>
          <w:p w14:paraId="3F06BA4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0.0029</w:t>
            </w:r>
          </w:p>
        </w:tc>
        <w:tc>
          <w:tcPr>
            <w:tcW w:w="1309" w:type="dxa"/>
            <w:shd w:val="clear" w:color="auto" w:fill="auto"/>
            <w:noWrap/>
            <w:vAlign w:val="bottom"/>
            <w:hideMark/>
          </w:tcPr>
          <w:p w14:paraId="002412AE"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-0.0015</w:t>
            </w:r>
          </w:p>
        </w:tc>
        <w:tc>
          <w:tcPr>
            <w:tcW w:w="1127" w:type="dxa"/>
            <w:shd w:val="clear" w:color="auto" w:fill="auto"/>
            <w:noWrap/>
            <w:vAlign w:val="bottom"/>
            <w:hideMark/>
          </w:tcPr>
          <w:p w14:paraId="02ED402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0.0102</w:t>
            </w:r>
          </w:p>
        </w:tc>
      </w:tr>
      <w:tr w:rsidR="00BA22EB" w:rsidRPr="007C269D" w14:paraId="1B2068AD" w14:textId="77777777" w:rsidTr="00C85417">
        <w:trPr>
          <w:trHeight w:val="290"/>
        </w:trPr>
        <w:tc>
          <w:tcPr>
            <w:tcW w:w="3360" w:type="dxa"/>
            <w:shd w:val="clear" w:color="auto" w:fill="auto"/>
            <w:noWrap/>
            <w:vAlign w:val="center"/>
            <w:hideMark/>
          </w:tcPr>
          <w:p w14:paraId="47417B99"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Indirect effect through 2nd med</w:t>
            </w:r>
          </w:p>
        </w:tc>
        <w:tc>
          <w:tcPr>
            <w:tcW w:w="1157" w:type="dxa"/>
            <w:shd w:val="clear" w:color="auto" w:fill="auto"/>
            <w:noWrap/>
            <w:vAlign w:val="bottom"/>
            <w:hideMark/>
          </w:tcPr>
          <w:p w14:paraId="362F866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0.0003</w:t>
            </w:r>
          </w:p>
        </w:tc>
        <w:tc>
          <w:tcPr>
            <w:tcW w:w="1193" w:type="dxa"/>
            <w:shd w:val="clear" w:color="auto" w:fill="auto"/>
            <w:noWrap/>
            <w:vAlign w:val="bottom"/>
            <w:hideMark/>
          </w:tcPr>
          <w:p w14:paraId="5843235C"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0.002</w:t>
            </w:r>
          </w:p>
        </w:tc>
        <w:tc>
          <w:tcPr>
            <w:tcW w:w="1462" w:type="dxa"/>
            <w:shd w:val="clear" w:color="auto" w:fill="auto"/>
            <w:noWrap/>
            <w:vAlign w:val="bottom"/>
            <w:hideMark/>
          </w:tcPr>
          <w:p w14:paraId="22B05E6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-0.0038</w:t>
            </w:r>
          </w:p>
        </w:tc>
        <w:tc>
          <w:tcPr>
            <w:tcW w:w="1548" w:type="dxa"/>
            <w:shd w:val="clear" w:color="auto" w:fill="auto"/>
            <w:noWrap/>
            <w:vAlign w:val="bottom"/>
            <w:hideMark/>
          </w:tcPr>
          <w:p w14:paraId="6321A6E6"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0.0046</w:t>
            </w:r>
          </w:p>
        </w:tc>
        <w:tc>
          <w:tcPr>
            <w:tcW w:w="243" w:type="dxa"/>
            <w:shd w:val="clear" w:color="auto" w:fill="auto"/>
            <w:noWrap/>
            <w:vAlign w:val="bottom"/>
            <w:hideMark/>
          </w:tcPr>
          <w:p w14:paraId="1D0CA278" w14:textId="77777777" w:rsidR="00BA22EB" w:rsidRPr="007C269D" w:rsidRDefault="00BA22EB" w:rsidP="00C85417">
            <w:pPr>
              <w:jc w:val="center"/>
              <w:rPr>
                <w:rFonts w:ascii="Times New Roman" w:hAnsi="Times New Roman"/>
                <w:color w:val="000000"/>
                <w:sz w:val="20"/>
                <w:szCs w:val="20"/>
              </w:rPr>
            </w:pPr>
          </w:p>
        </w:tc>
        <w:tc>
          <w:tcPr>
            <w:tcW w:w="1753" w:type="dxa"/>
            <w:shd w:val="clear" w:color="auto" w:fill="auto"/>
            <w:noWrap/>
            <w:vAlign w:val="bottom"/>
            <w:hideMark/>
          </w:tcPr>
          <w:p w14:paraId="08C1921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0.0038</w:t>
            </w:r>
          </w:p>
        </w:tc>
        <w:tc>
          <w:tcPr>
            <w:tcW w:w="1068" w:type="dxa"/>
            <w:shd w:val="clear" w:color="auto" w:fill="auto"/>
            <w:noWrap/>
            <w:vAlign w:val="bottom"/>
            <w:hideMark/>
          </w:tcPr>
          <w:p w14:paraId="050D39B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0.0025</w:t>
            </w:r>
          </w:p>
        </w:tc>
        <w:tc>
          <w:tcPr>
            <w:tcW w:w="1309" w:type="dxa"/>
            <w:shd w:val="clear" w:color="auto" w:fill="auto"/>
            <w:noWrap/>
            <w:vAlign w:val="bottom"/>
            <w:hideMark/>
          </w:tcPr>
          <w:p w14:paraId="676B18E2"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-0.0001</w:t>
            </w:r>
          </w:p>
        </w:tc>
        <w:tc>
          <w:tcPr>
            <w:tcW w:w="1127" w:type="dxa"/>
            <w:shd w:val="clear" w:color="auto" w:fill="auto"/>
            <w:noWrap/>
            <w:vAlign w:val="bottom"/>
            <w:hideMark/>
          </w:tcPr>
          <w:p w14:paraId="12A69149"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0.0097</w:t>
            </w:r>
          </w:p>
        </w:tc>
      </w:tr>
      <w:tr w:rsidR="00BA22EB" w:rsidRPr="007C269D" w14:paraId="69B36B46" w14:textId="77777777" w:rsidTr="00C85417">
        <w:trPr>
          <w:trHeight w:val="290"/>
        </w:trPr>
        <w:tc>
          <w:tcPr>
            <w:tcW w:w="3360" w:type="dxa"/>
            <w:tcBorders>
              <w:bottom w:val="single" w:sz="4" w:space="0" w:color="auto"/>
            </w:tcBorders>
            <w:shd w:val="clear" w:color="auto" w:fill="auto"/>
            <w:noWrap/>
            <w:vAlign w:val="center"/>
            <w:hideMark/>
          </w:tcPr>
          <w:p w14:paraId="455C6F7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Serial mediation effect</w:t>
            </w:r>
          </w:p>
        </w:tc>
        <w:tc>
          <w:tcPr>
            <w:tcW w:w="1157" w:type="dxa"/>
            <w:tcBorders>
              <w:bottom w:val="single" w:sz="4" w:space="0" w:color="auto"/>
            </w:tcBorders>
            <w:shd w:val="clear" w:color="auto" w:fill="auto"/>
            <w:noWrap/>
            <w:vAlign w:val="bottom"/>
            <w:hideMark/>
          </w:tcPr>
          <w:p w14:paraId="062C1D8B"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0.0062</w:t>
            </w:r>
          </w:p>
        </w:tc>
        <w:tc>
          <w:tcPr>
            <w:tcW w:w="1193" w:type="dxa"/>
            <w:tcBorders>
              <w:bottom w:val="single" w:sz="4" w:space="0" w:color="auto"/>
            </w:tcBorders>
            <w:shd w:val="clear" w:color="auto" w:fill="auto"/>
            <w:noWrap/>
            <w:vAlign w:val="bottom"/>
            <w:hideMark/>
          </w:tcPr>
          <w:p w14:paraId="657608A7"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0.0028</w:t>
            </w:r>
          </w:p>
        </w:tc>
        <w:tc>
          <w:tcPr>
            <w:tcW w:w="1462" w:type="dxa"/>
            <w:tcBorders>
              <w:bottom w:val="single" w:sz="4" w:space="0" w:color="auto"/>
            </w:tcBorders>
            <w:shd w:val="clear" w:color="auto" w:fill="auto"/>
            <w:noWrap/>
            <w:vAlign w:val="bottom"/>
            <w:hideMark/>
          </w:tcPr>
          <w:p w14:paraId="7C36E07B" w14:textId="77777777" w:rsidR="00BA22EB" w:rsidRPr="007C269D" w:rsidRDefault="00BA22EB" w:rsidP="00C85417">
            <w:pPr>
              <w:jc w:val="center"/>
              <w:rPr>
                <w:rFonts w:ascii="Times New Roman" w:hAnsi="Times New Roman"/>
                <w:b/>
                <w:bCs/>
                <w:color w:val="000000"/>
                <w:sz w:val="20"/>
                <w:szCs w:val="20"/>
              </w:rPr>
            </w:pPr>
            <w:r w:rsidRPr="007C269D">
              <w:rPr>
                <w:rFonts w:ascii="Times New Roman" w:hAnsi="Times New Roman"/>
                <w:b/>
                <w:bCs/>
                <w:color w:val="000000"/>
                <w:sz w:val="20"/>
                <w:szCs w:val="20"/>
              </w:rPr>
              <w:t>0.0014</w:t>
            </w:r>
          </w:p>
        </w:tc>
        <w:tc>
          <w:tcPr>
            <w:tcW w:w="1548" w:type="dxa"/>
            <w:tcBorders>
              <w:bottom w:val="single" w:sz="4" w:space="0" w:color="auto"/>
            </w:tcBorders>
            <w:shd w:val="clear" w:color="auto" w:fill="auto"/>
            <w:noWrap/>
            <w:vAlign w:val="bottom"/>
            <w:hideMark/>
          </w:tcPr>
          <w:p w14:paraId="604ECB83" w14:textId="77777777" w:rsidR="00BA22EB" w:rsidRPr="007C269D" w:rsidRDefault="00BA22EB" w:rsidP="00C85417">
            <w:pPr>
              <w:jc w:val="center"/>
              <w:rPr>
                <w:rFonts w:ascii="Times New Roman" w:hAnsi="Times New Roman"/>
                <w:b/>
                <w:bCs/>
                <w:color w:val="000000"/>
                <w:sz w:val="20"/>
                <w:szCs w:val="20"/>
              </w:rPr>
            </w:pPr>
            <w:r w:rsidRPr="007C269D">
              <w:rPr>
                <w:rFonts w:ascii="Times New Roman" w:hAnsi="Times New Roman"/>
                <w:b/>
                <w:bCs/>
                <w:color w:val="000000"/>
                <w:sz w:val="20"/>
                <w:szCs w:val="20"/>
              </w:rPr>
              <w:t>0.0124</w:t>
            </w:r>
          </w:p>
        </w:tc>
        <w:tc>
          <w:tcPr>
            <w:tcW w:w="243" w:type="dxa"/>
            <w:tcBorders>
              <w:bottom w:val="single" w:sz="4" w:space="0" w:color="auto"/>
            </w:tcBorders>
            <w:shd w:val="clear" w:color="auto" w:fill="auto"/>
            <w:noWrap/>
            <w:vAlign w:val="bottom"/>
            <w:hideMark/>
          </w:tcPr>
          <w:p w14:paraId="49E2521B" w14:textId="77777777" w:rsidR="00BA22EB" w:rsidRPr="007C269D" w:rsidRDefault="00BA22EB" w:rsidP="00C85417">
            <w:pPr>
              <w:jc w:val="center"/>
              <w:rPr>
                <w:rFonts w:ascii="Times New Roman" w:hAnsi="Times New Roman"/>
                <w:color w:val="000000"/>
                <w:sz w:val="20"/>
                <w:szCs w:val="20"/>
              </w:rPr>
            </w:pPr>
          </w:p>
        </w:tc>
        <w:tc>
          <w:tcPr>
            <w:tcW w:w="1753" w:type="dxa"/>
            <w:tcBorders>
              <w:bottom w:val="single" w:sz="4" w:space="0" w:color="auto"/>
            </w:tcBorders>
            <w:shd w:val="clear" w:color="auto" w:fill="auto"/>
            <w:noWrap/>
            <w:vAlign w:val="bottom"/>
            <w:hideMark/>
          </w:tcPr>
          <w:p w14:paraId="0A74B6C5"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0.0022</w:t>
            </w:r>
          </w:p>
        </w:tc>
        <w:tc>
          <w:tcPr>
            <w:tcW w:w="1068" w:type="dxa"/>
            <w:tcBorders>
              <w:bottom w:val="single" w:sz="4" w:space="0" w:color="auto"/>
            </w:tcBorders>
            <w:shd w:val="clear" w:color="auto" w:fill="auto"/>
            <w:noWrap/>
            <w:vAlign w:val="bottom"/>
            <w:hideMark/>
          </w:tcPr>
          <w:p w14:paraId="3A9458B1" w14:textId="77777777" w:rsidR="00BA22EB" w:rsidRPr="007C269D" w:rsidRDefault="00BA22EB" w:rsidP="00C85417">
            <w:pPr>
              <w:jc w:val="center"/>
              <w:rPr>
                <w:rFonts w:ascii="Times New Roman" w:hAnsi="Times New Roman"/>
                <w:color w:val="000000"/>
                <w:sz w:val="20"/>
                <w:szCs w:val="20"/>
              </w:rPr>
            </w:pPr>
            <w:r w:rsidRPr="007C269D">
              <w:rPr>
                <w:rFonts w:ascii="Times New Roman" w:hAnsi="Times New Roman"/>
                <w:color w:val="000000"/>
                <w:sz w:val="20"/>
                <w:szCs w:val="20"/>
              </w:rPr>
              <w:t>0.0011</w:t>
            </w:r>
          </w:p>
        </w:tc>
        <w:tc>
          <w:tcPr>
            <w:tcW w:w="1309" w:type="dxa"/>
            <w:tcBorders>
              <w:bottom w:val="single" w:sz="4" w:space="0" w:color="auto"/>
            </w:tcBorders>
            <w:shd w:val="clear" w:color="auto" w:fill="auto"/>
            <w:noWrap/>
            <w:vAlign w:val="bottom"/>
            <w:hideMark/>
          </w:tcPr>
          <w:p w14:paraId="681B4FD2" w14:textId="77777777" w:rsidR="00BA22EB" w:rsidRPr="007C269D" w:rsidRDefault="00BA22EB" w:rsidP="00C85417">
            <w:pPr>
              <w:jc w:val="center"/>
              <w:rPr>
                <w:rFonts w:ascii="Times New Roman" w:hAnsi="Times New Roman"/>
                <w:b/>
                <w:bCs/>
                <w:color w:val="000000"/>
                <w:sz w:val="20"/>
                <w:szCs w:val="20"/>
              </w:rPr>
            </w:pPr>
            <w:r w:rsidRPr="007C269D">
              <w:rPr>
                <w:rFonts w:ascii="Times New Roman" w:hAnsi="Times New Roman"/>
                <w:b/>
                <w:bCs/>
                <w:color w:val="000000"/>
                <w:sz w:val="20"/>
                <w:szCs w:val="20"/>
              </w:rPr>
              <w:t>0.0005</w:t>
            </w:r>
          </w:p>
        </w:tc>
        <w:tc>
          <w:tcPr>
            <w:tcW w:w="1127" w:type="dxa"/>
            <w:tcBorders>
              <w:bottom w:val="single" w:sz="4" w:space="0" w:color="auto"/>
            </w:tcBorders>
            <w:shd w:val="clear" w:color="auto" w:fill="auto"/>
            <w:noWrap/>
            <w:vAlign w:val="bottom"/>
            <w:hideMark/>
          </w:tcPr>
          <w:p w14:paraId="7AD21D1A" w14:textId="77777777" w:rsidR="00BA22EB" w:rsidRPr="007C269D" w:rsidRDefault="00BA22EB" w:rsidP="00C85417">
            <w:pPr>
              <w:jc w:val="center"/>
              <w:rPr>
                <w:rFonts w:ascii="Times New Roman" w:hAnsi="Times New Roman"/>
                <w:b/>
                <w:bCs/>
                <w:color w:val="000000"/>
                <w:sz w:val="20"/>
                <w:szCs w:val="20"/>
              </w:rPr>
            </w:pPr>
            <w:r w:rsidRPr="007C269D">
              <w:rPr>
                <w:rFonts w:ascii="Times New Roman" w:hAnsi="Times New Roman"/>
                <w:b/>
                <w:bCs/>
                <w:color w:val="000000"/>
                <w:sz w:val="20"/>
                <w:szCs w:val="20"/>
              </w:rPr>
              <w:t>0.0048</w:t>
            </w:r>
          </w:p>
        </w:tc>
      </w:tr>
    </w:tbl>
    <w:p w14:paraId="6073E957" w14:textId="73E4850D" w:rsidR="001A0945" w:rsidRPr="001A0945" w:rsidRDefault="001A0945" w:rsidP="001A0945">
      <w:pPr>
        <w:rPr>
          <w:rFonts w:asciiTheme="majorBidi" w:hAnsiTheme="majorBidi" w:cstheme="majorBidi"/>
          <w:i/>
          <w:iCs/>
        </w:rPr>
        <w:sectPr w:rsidR="001A0945" w:rsidRPr="001A0945" w:rsidSect="001A0945">
          <w:pgSz w:w="15840" w:h="12240" w:orient="landscape"/>
          <w:pgMar w:top="1797" w:right="1440" w:bottom="1797" w:left="1440" w:header="720" w:footer="720" w:gutter="0"/>
          <w:cols w:space="720"/>
          <w:docGrid w:linePitch="360"/>
        </w:sectPr>
      </w:pPr>
    </w:p>
    <w:p w14:paraId="55FCA4EA" w14:textId="209DCAA5" w:rsidR="001A0945" w:rsidRPr="001A0945" w:rsidRDefault="001A0945" w:rsidP="001A0945">
      <w:pPr>
        <w:spacing w:line="480" w:lineRule="auto"/>
        <w:rPr>
          <w:rFonts w:asciiTheme="majorBidi" w:hAnsiTheme="majorBidi" w:cstheme="majorBidi"/>
          <w:i/>
          <w:iCs/>
        </w:rPr>
      </w:pPr>
      <w:r w:rsidRPr="001A0945">
        <w:rPr>
          <w:rFonts w:asciiTheme="majorBidi" w:hAnsiTheme="majorBidi" w:cstheme="majorBidi"/>
          <w:i/>
          <w:iCs/>
        </w:rPr>
        <w:lastRenderedPageBreak/>
        <w:t>Study 5: Discussion</w:t>
      </w:r>
    </w:p>
    <w:p w14:paraId="45F578F2" w14:textId="55D32EC4" w:rsidR="001A0945" w:rsidRDefault="00FA41A7" w:rsidP="001A0945">
      <w:pPr>
        <w:spacing w:line="480" w:lineRule="auto"/>
        <w:rPr>
          <w:rFonts w:asciiTheme="majorBidi" w:hAnsiTheme="majorBidi" w:cstheme="majorBidi"/>
        </w:rPr>
      </w:pPr>
      <w:r>
        <w:rPr>
          <w:rFonts w:asciiTheme="majorBidi" w:hAnsiTheme="majorBidi" w:cstheme="majorBidi"/>
        </w:rPr>
        <w:tab/>
        <w:t xml:space="preserve">In this study, precommitment again led to safer choices (supporting H1). As we predicted, the effect of precommitment on safety choices was mediated by planning (supporting H2). We also predicted serial mediation, of precommitment leading to planning, leading to self-reported use of math, leading to safer choices. The thinking here is that a greater focus on cumulative outcomes should lead to greater usage of math. While this was not significant, the </w:t>
      </w:r>
      <w:r w:rsidR="007B2E41">
        <w:rPr>
          <w:rFonts w:asciiTheme="majorBidi" w:hAnsiTheme="majorBidi" w:cstheme="majorBidi"/>
        </w:rPr>
        <w:t xml:space="preserve">(unpredicted but </w:t>
      </w:r>
      <w:r>
        <w:rPr>
          <w:rFonts w:asciiTheme="majorBidi" w:hAnsiTheme="majorBidi" w:cstheme="majorBidi"/>
        </w:rPr>
        <w:t>similar</w:t>
      </w:r>
      <w:r w:rsidR="007B2E41">
        <w:rPr>
          <w:rFonts w:asciiTheme="majorBidi" w:hAnsiTheme="majorBidi" w:cstheme="majorBidi"/>
        </w:rPr>
        <w:t>)</w:t>
      </w:r>
      <w:r>
        <w:rPr>
          <w:rFonts w:asciiTheme="majorBidi" w:hAnsiTheme="majorBidi" w:cstheme="majorBidi"/>
        </w:rPr>
        <w:t xml:space="preserve"> serial mediation of planning, leading to perceived usefulness of math, leading to safer choices was significant. </w:t>
      </w:r>
      <w:r w:rsidR="00602F01">
        <w:rPr>
          <w:rFonts w:asciiTheme="majorBidi" w:hAnsiTheme="majorBidi" w:cstheme="majorBidi"/>
        </w:rPr>
        <w:t xml:space="preserve">Overall, these results partially support H2. </w:t>
      </w:r>
    </w:p>
    <w:p w14:paraId="21B5FEB4" w14:textId="7BFF41D8" w:rsidR="004D2085" w:rsidRPr="001A0945" w:rsidRDefault="004D2085" w:rsidP="001A0945">
      <w:pPr>
        <w:spacing w:line="480" w:lineRule="auto"/>
        <w:rPr>
          <w:rFonts w:asciiTheme="majorBidi" w:hAnsiTheme="majorBidi" w:cstheme="majorBidi"/>
        </w:rPr>
      </w:pPr>
      <w:r>
        <w:rPr>
          <w:rFonts w:asciiTheme="majorBidi" w:hAnsiTheme="majorBidi" w:cstheme="majorBidi"/>
        </w:rPr>
        <w:tab/>
        <w:t xml:space="preserve">Finally, </w:t>
      </w:r>
      <w:r w:rsidR="00B00043">
        <w:rPr>
          <w:rFonts w:asciiTheme="majorBidi" w:hAnsiTheme="majorBidi" w:cstheme="majorBidi"/>
        </w:rPr>
        <w:t xml:space="preserve">in Study 6 </w:t>
      </w:r>
      <w:r>
        <w:rPr>
          <w:rFonts w:asciiTheme="majorBidi" w:hAnsiTheme="majorBidi" w:cstheme="majorBidi"/>
        </w:rPr>
        <w:t xml:space="preserve">we examine influences choices in the context of independent security dilemmas. </w:t>
      </w:r>
    </w:p>
    <w:p w14:paraId="7BD6671B" w14:textId="77777777" w:rsidR="001A0945" w:rsidRDefault="001A0945" w:rsidP="001A0945">
      <w:pPr>
        <w:spacing w:line="480" w:lineRule="auto"/>
        <w:jc w:val="center"/>
        <w:rPr>
          <w:rFonts w:asciiTheme="majorBidi" w:hAnsiTheme="majorBidi" w:cstheme="majorBidi"/>
          <w:i/>
          <w:iCs/>
        </w:rPr>
      </w:pPr>
    </w:p>
    <w:p w14:paraId="05476C30" w14:textId="43EC2963" w:rsidR="007F39CB" w:rsidRDefault="007F39CB" w:rsidP="001A0945">
      <w:pPr>
        <w:spacing w:line="480" w:lineRule="auto"/>
        <w:jc w:val="center"/>
        <w:rPr>
          <w:rFonts w:ascii="Times New Roman" w:hAnsi="Times New Roman"/>
          <w:i/>
        </w:rPr>
      </w:pPr>
      <w:r w:rsidRPr="00434349">
        <w:rPr>
          <w:rFonts w:asciiTheme="majorBidi" w:hAnsiTheme="majorBidi" w:cstheme="majorBidi"/>
          <w:i/>
          <w:iCs/>
        </w:rPr>
        <w:t xml:space="preserve">Study </w:t>
      </w:r>
      <w:r w:rsidR="003C2ABB">
        <w:rPr>
          <w:rFonts w:asciiTheme="majorBidi" w:hAnsiTheme="majorBidi" w:cstheme="majorBidi"/>
          <w:i/>
          <w:iCs/>
        </w:rPr>
        <w:t>6</w:t>
      </w:r>
      <w:r w:rsidRPr="00434349">
        <w:rPr>
          <w:rFonts w:asciiTheme="majorBidi" w:hAnsiTheme="majorBidi" w:cstheme="majorBidi"/>
          <w:i/>
          <w:iCs/>
        </w:rPr>
        <w:t xml:space="preserve">: </w:t>
      </w:r>
      <w:r w:rsidR="005A43D2">
        <w:rPr>
          <w:rFonts w:asciiTheme="majorBidi" w:hAnsiTheme="majorBidi" w:cstheme="majorBidi"/>
          <w:i/>
          <w:iCs/>
        </w:rPr>
        <w:t>Precommitment in Social Dilemmas</w:t>
      </w:r>
    </w:p>
    <w:p w14:paraId="576535F3" w14:textId="5D629341" w:rsidR="007F39CB" w:rsidRDefault="007F39CB" w:rsidP="00620079">
      <w:pPr>
        <w:spacing w:line="480" w:lineRule="auto"/>
        <w:ind w:firstLine="720"/>
        <w:rPr>
          <w:rFonts w:ascii="Times New Roman" w:hAnsi="Times New Roman"/>
          <w:iCs/>
        </w:rPr>
      </w:pPr>
      <w:r>
        <w:rPr>
          <w:rFonts w:ascii="Times New Roman" w:hAnsi="Times New Roman"/>
          <w:iCs/>
        </w:rPr>
        <w:t xml:space="preserve">The goal of study </w:t>
      </w:r>
      <w:r w:rsidR="003C2ABB">
        <w:rPr>
          <w:rFonts w:ascii="Times New Roman" w:hAnsi="Times New Roman"/>
          <w:iCs/>
        </w:rPr>
        <w:t>6</w:t>
      </w:r>
      <w:r>
        <w:rPr>
          <w:rFonts w:ascii="Times New Roman" w:hAnsi="Times New Roman"/>
          <w:iCs/>
        </w:rPr>
        <w:t xml:space="preserve"> was to test the application of </w:t>
      </w:r>
      <w:r w:rsidR="00FF3292">
        <w:rPr>
          <w:rFonts w:ascii="Times New Roman" w:hAnsi="Times New Roman"/>
          <w:iCs/>
        </w:rPr>
        <w:t xml:space="preserve">the </w:t>
      </w:r>
      <w:r>
        <w:rPr>
          <w:rFonts w:ascii="Times New Roman" w:hAnsi="Times New Roman"/>
          <w:iCs/>
        </w:rPr>
        <w:t xml:space="preserve">precommitment </w:t>
      </w:r>
      <w:r w:rsidR="00FF3292">
        <w:rPr>
          <w:rFonts w:ascii="Times New Roman" w:hAnsi="Times New Roman"/>
          <w:iCs/>
        </w:rPr>
        <w:t>nudge</w:t>
      </w:r>
      <w:r>
        <w:rPr>
          <w:rFonts w:ascii="Times New Roman" w:hAnsi="Times New Roman"/>
          <w:iCs/>
        </w:rPr>
        <w:t xml:space="preserve"> in the context of social dilemmas. </w:t>
      </w:r>
      <w:r w:rsidR="00FF3292">
        <w:rPr>
          <w:rFonts w:ascii="Times New Roman" w:hAnsi="Times New Roman"/>
          <w:iCs/>
        </w:rPr>
        <w:t>Specifically</w:t>
      </w:r>
      <w:r>
        <w:rPr>
          <w:rFonts w:ascii="Times New Roman" w:hAnsi="Times New Roman"/>
          <w:iCs/>
        </w:rPr>
        <w:t>, we examine and compare the effect</w:t>
      </w:r>
      <w:r w:rsidR="00FF3292">
        <w:rPr>
          <w:rFonts w:ascii="Times New Roman" w:hAnsi="Times New Roman"/>
          <w:iCs/>
        </w:rPr>
        <w:t>s</w:t>
      </w:r>
      <w:r>
        <w:rPr>
          <w:rFonts w:ascii="Times New Roman" w:hAnsi="Times New Roman"/>
          <w:iCs/>
        </w:rPr>
        <w:t xml:space="preserve"> of non-binding</w:t>
      </w:r>
      <w:r w:rsidR="00620079">
        <w:rPr>
          <w:rFonts w:ascii="Times New Roman" w:hAnsi="Times New Roman"/>
          <w:iCs/>
        </w:rPr>
        <w:t xml:space="preserve"> versus binding</w:t>
      </w:r>
      <w:r>
        <w:rPr>
          <w:rFonts w:ascii="Times New Roman" w:hAnsi="Times New Roman"/>
          <w:iCs/>
        </w:rPr>
        <w:t xml:space="preserve"> precommitment in a social dilemma setting. We used a stochastic prisoners’ dilemma (i.e., interdependent security) whereby game outcomes were a function of </w:t>
      </w:r>
      <w:r w:rsidR="00FF3292">
        <w:rPr>
          <w:rFonts w:ascii="Times New Roman" w:hAnsi="Times New Roman"/>
          <w:iCs/>
        </w:rPr>
        <w:t>the</w:t>
      </w:r>
      <w:r>
        <w:rPr>
          <w:rFonts w:ascii="Times New Roman" w:hAnsi="Times New Roman"/>
          <w:iCs/>
        </w:rPr>
        <w:t xml:space="preserve"> participant’s choices, </w:t>
      </w:r>
      <w:r w:rsidR="00FF3292">
        <w:rPr>
          <w:rFonts w:ascii="Times New Roman" w:hAnsi="Times New Roman"/>
          <w:iCs/>
        </w:rPr>
        <w:t>their</w:t>
      </w:r>
      <w:r>
        <w:rPr>
          <w:rFonts w:ascii="Times New Roman" w:hAnsi="Times New Roman"/>
          <w:iCs/>
        </w:rPr>
        <w:t xml:space="preserve"> counterpart’s choices, and random factors. </w:t>
      </w:r>
    </w:p>
    <w:p w14:paraId="60D384E4" w14:textId="026DB74D" w:rsidR="007F39CB" w:rsidRPr="00434349" w:rsidRDefault="007F39CB" w:rsidP="007F39CB">
      <w:pPr>
        <w:spacing w:line="480" w:lineRule="auto"/>
        <w:rPr>
          <w:rFonts w:asciiTheme="majorBidi" w:hAnsiTheme="majorBidi" w:cstheme="majorBidi"/>
          <w:i/>
          <w:iCs/>
        </w:rPr>
      </w:pPr>
      <w:r w:rsidRPr="00434349">
        <w:rPr>
          <w:rFonts w:asciiTheme="majorBidi" w:hAnsiTheme="majorBidi" w:cstheme="majorBidi"/>
          <w:i/>
          <w:iCs/>
        </w:rPr>
        <w:t>Study</w:t>
      </w:r>
      <w:r>
        <w:rPr>
          <w:rFonts w:asciiTheme="majorBidi" w:hAnsiTheme="majorBidi" w:cstheme="majorBidi"/>
          <w:i/>
          <w:iCs/>
        </w:rPr>
        <w:t xml:space="preserve"> </w:t>
      </w:r>
      <w:r w:rsidR="003C2ABB">
        <w:rPr>
          <w:rFonts w:asciiTheme="majorBidi" w:hAnsiTheme="majorBidi" w:cstheme="majorBidi"/>
          <w:i/>
          <w:iCs/>
        </w:rPr>
        <w:t>6</w:t>
      </w:r>
      <w:r w:rsidRPr="00434349">
        <w:rPr>
          <w:rFonts w:asciiTheme="majorBidi" w:hAnsiTheme="majorBidi" w:cstheme="majorBidi"/>
          <w:i/>
          <w:iCs/>
        </w:rPr>
        <w:t xml:space="preserve">: </w:t>
      </w:r>
      <w:r>
        <w:rPr>
          <w:rFonts w:asciiTheme="majorBidi" w:hAnsiTheme="majorBidi" w:cstheme="majorBidi"/>
          <w:i/>
          <w:iCs/>
        </w:rPr>
        <w:t>Design overview</w:t>
      </w:r>
    </w:p>
    <w:p w14:paraId="2D9E01F6" w14:textId="25A804D0" w:rsidR="007F39CB" w:rsidRDefault="007F39CB" w:rsidP="007F39CB">
      <w:pPr>
        <w:spacing w:line="480" w:lineRule="auto"/>
        <w:rPr>
          <w:rFonts w:ascii="Times New Roman" w:hAnsi="Times New Roman"/>
        </w:rPr>
      </w:pPr>
      <w:r w:rsidRPr="002208A3">
        <w:rPr>
          <w:rFonts w:ascii="Times New Roman" w:hAnsi="Times New Roman"/>
        </w:rPr>
        <w:t>In a between-subjects design, participants played one of three versions of a social dilemma game</w:t>
      </w:r>
      <w:r w:rsidR="001C3132">
        <w:rPr>
          <w:rFonts w:ascii="Times New Roman" w:hAnsi="Times New Roman"/>
        </w:rPr>
        <w:t xml:space="preserve"> (with incentive-compatible outcomes)</w:t>
      </w:r>
      <w:r w:rsidRPr="002208A3">
        <w:rPr>
          <w:rFonts w:ascii="Times New Roman" w:hAnsi="Times New Roman"/>
        </w:rPr>
        <w:t xml:space="preserve">: a </w:t>
      </w:r>
      <w:r>
        <w:rPr>
          <w:rFonts w:ascii="Times New Roman" w:hAnsi="Times New Roman"/>
        </w:rPr>
        <w:t>stochastic</w:t>
      </w:r>
      <w:r w:rsidRPr="002208A3">
        <w:rPr>
          <w:rFonts w:ascii="Times New Roman" w:hAnsi="Times New Roman"/>
        </w:rPr>
        <w:t xml:space="preserve"> prisoner's dilemma with repeated </w:t>
      </w:r>
      <w:r>
        <w:rPr>
          <w:rFonts w:ascii="Times New Roman" w:hAnsi="Times New Roman"/>
        </w:rPr>
        <w:t>choices</w:t>
      </w:r>
      <w:r w:rsidRPr="002208A3">
        <w:rPr>
          <w:rFonts w:ascii="Times New Roman" w:hAnsi="Times New Roman"/>
        </w:rPr>
        <w:t xml:space="preserve">, a stochastic prisoner's dilemma with </w:t>
      </w:r>
      <w:r w:rsidR="001C3132">
        <w:rPr>
          <w:rFonts w:ascii="Times New Roman" w:hAnsi="Times New Roman"/>
        </w:rPr>
        <w:t xml:space="preserve">binding </w:t>
      </w:r>
      <w:r>
        <w:rPr>
          <w:rFonts w:ascii="Times New Roman" w:hAnsi="Times New Roman"/>
        </w:rPr>
        <w:t>preco</w:t>
      </w:r>
      <w:r w:rsidR="001C3132">
        <w:rPr>
          <w:rFonts w:ascii="Times New Roman" w:hAnsi="Times New Roman"/>
        </w:rPr>
        <w:t>m</w:t>
      </w:r>
      <w:r>
        <w:rPr>
          <w:rFonts w:ascii="Times New Roman" w:hAnsi="Times New Roman"/>
        </w:rPr>
        <w:t>mitted choices</w:t>
      </w:r>
      <w:r w:rsidRPr="002208A3">
        <w:rPr>
          <w:rFonts w:ascii="Times New Roman" w:hAnsi="Times New Roman"/>
        </w:rPr>
        <w:t xml:space="preserve">, or a stochastic prisoner's dilemma with </w:t>
      </w:r>
      <w:r>
        <w:rPr>
          <w:rFonts w:ascii="Times New Roman" w:hAnsi="Times New Roman"/>
        </w:rPr>
        <w:t xml:space="preserve">non-binding </w:t>
      </w:r>
      <w:r w:rsidRPr="002208A3">
        <w:rPr>
          <w:rFonts w:ascii="Times New Roman" w:hAnsi="Times New Roman"/>
        </w:rPr>
        <w:t xml:space="preserve">precommitted </w:t>
      </w:r>
      <w:r w:rsidR="001C3132">
        <w:rPr>
          <w:rFonts w:ascii="Times New Roman" w:hAnsi="Times New Roman"/>
        </w:rPr>
        <w:t>choices</w:t>
      </w:r>
      <w:r w:rsidRPr="002208A3">
        <w:rPr>
          <w:rFonts w:ascii="Times New Roman" w:hAnsi="Times New Roman"/>
        </w:rPr>
        <w:t xml:space="preserve">. </w:t>
      </w:r>
      <w:r w:rsidR="001C3132">
        <w:rPr>
          <w:rFonts w:ascii="Times New Roman" w:hAnsi="Times New Roman"/>
        </w:rPr>
        <w:lastRenderedPageBreak/>
        <w:t>Participants played 3 blocks of 20 rounds each</w:t>
      </w:r>
      <w:r w:rsidRPr="002208A3">
        <w:rPr>
          <w:rFonts w:ascii="Times New Roman" w:hAnsi="Times New Roman"/>
        </w:rPr>
        <w:t>.</w:t>
      </w:r>
      <w:r w:rsidR="001C3132">
        <w:rPr>
          <w:rFonts w:ascii="Times New Roman" w:hAnsi="Times New Roman"/>
        </w:rPr>
        <w:t xml:space="preserve"> In this study, we used 3 blocks rather than 4 for brevity, to be sure the study would finish within a </w:t>
      </w:r>
      <w:r w:rsidR="006841D5">
        <w:rPr>
          <w:rFonts w:ascii="Times New Roman" w:hAnsi="Times New Roman"/>
        </w:rPr>
        <w:t>3</w:t>
      </w:r>
      <w:r w:rsidR="001C3132">
        <w:rPr>
          <w:rFonts w:ascii="Times New Roman" w:hAnsi="Times New Roman"/>
        </w:rPr>
        <w:t>0-minute timeslot.</w:t>
      </w:r>
      <w:r w:rsidRPr="002208A3">
        <w:rPr>
          <w:rFonts w:ascii="Times New Roman" w:hAnsi="Times New Roman"/>
        </w:rPr>
        <w:t xml:space="preserve"> </w:t>
      </w:r>
      <w:r w:rsidR="001C3132">
        <w:rPr>
          <w:rFonts w:ascii="Times New Roman" w:hAnsi="Times New Roman"/>
        </w:rPr>
        <w:t>Counterparts for each block were anonymous, p</w:t>
      </w:r>
      <w:r w:rsidRPr="002208A3">
        <w:rPr>
          <w:rFonts w:ascii="Times New Roman" w:hAnsi="Times New Roman"/>
        </w:rPr>
        <w:t>articipants were randomly assigned a counterpart for each block</w:t>
      </w:r>
      <w:r w:rsidR="001C3132">
        <w:rPr>
          <w:rFonts w:ascii="Times New Roman" w:hAnsi="Times New Roman"/>
        </w:rPr>
        <w:t xml:space="preserve"> (with replacement)</w:t>
      </w:r>
      <w:r w:rsidRPr="002208A3">
        <w:rPr>
          <w:rFonts w:ascii="Times New Roman" w:hAnsi="Times New Roman"/>
        </w:rPr>
        <w:t xml:space="preserve">, and one block was randomly selected and paid out for real money at the end of the study. </w:t>
      </w:r>
    </w:p>
    <w:p w14:paraId="21BDF9C2" w14:textId="7EACB4C4" w:rsidR="007F39CB" w:rsidRPr="002208A3" w:rsidRDefault="007F39CB" w:rsidP="007F39CB">
      <w:pPr>
        <w:spacing w:line="480" w:lineRule="auto"/>
        <w:rPr>
          <w:rFonts w:ascii="Times New Roman" w:hAnsi="Times New Roman"/>
          <w:i/>
        </w:rPr>
      </w:pPr>
      <w:r w:rsidRPr="002208A3">
        <w:rPr>
          <w:rFonts w:ascii="Times New Roman" w:hAnsi="Times New Roman"/>
          <w:i/>
        </w:rPr>
        <w:t xml:space="preserve">Study </w:t>
      </w:r>
      <w:r w:rsidR="003C2ABB">
        <w:rPr>
          <w:rFonts w:ascii="Times New Roman" w:hAnsi="Times New Roman"/>
          <w:i/>
        </w:rPr>
        <w:t>6</w:t>
      </w:r>
      <w:r w:rsidRPr="002208A3">
        <w:rPr>
          <w:rFonts w:ascii="Times New Roman" w:hAnsi="Times New Roman"/>
          <w:i/>
        </w:rPr>
        <w:t xml:space="preserve">: </w:t>
      </w:r>
      <w:r>
        <w:rPr>
          <w:rFonts w:ascii="Times New Roman" w:hAnsi="Times New Roman"/>
          <w:i/>
        </w:rPr>
        <w:t>Methods</w:t>
      </w:r>
    </w:p>
    <w:p w14:paraId="10235495" w14:textId="07284DB0" w:rsidR="007F39CB" w:rsidRPr="006850FF" w:rsidRDefault="007F39CB" w:rsidP="007F39CB">
      <w:pPr>
        <w:spacing w:line="480" w:lineRule="auto"/>
        <w:rPr>
          <w:rFonts w:ascii="Times New Roman" w:hAnsi="Times New Roman"/>
        </w:rPr>
      </w:pPr>
      <w:r>
        <w:rPr>
          <w:rFonts w:ascii="Times New Roman" w:hAnsi="Times New Roman"/>
        </w:rPr>
        <w:tab/>
        <w:t>160</w:t>
      </w:r>
      <w:r w:rsidRPr="002208A3">
        <w:rPr>
          <w:rFonts w:ascii="Times New Roman" w:hAnsi="Times New Roman"/>
        </w:rPr>
        <w:t xml:space="preserve"> participants (</w:t>
      </w:r>
      <w:r>
        <w:rPr>
          <w:rFonts w:ascii="Times New Roman" w:hAnsi="Times New Roman"/>
        </w:rPr>
        <w:t>70</w:t>
      </w:r>
      <w:r w:rsidRPr="002208A3">
        <w:rPr>
          <w:rFonts w:ascii="Times New Roman" w:hAnsi="Times New Roman"/>
        </w:rPr>
        <w:t>% female</w:t>
      </w:r>
      <w:r w:rsidR="00AE7EF7">
        <w:rPr>
          <w:rFonts w:ascii="Times New Roman" w:hAnsi="Times New Roman"/>
        </w:rPr>
        <w:t>, M</w:t>
      </w:r>
      <w:r w:rsidR="00AE7EF7">
        <w:rPr>
          <w:rFonts w:ascii="Times New Roman" w:hAnsi="Times New Roman"/>
          <w:vertAlign w:val="subscript"/>
        </w:rPr>
        <w:t xml:space="preserve">age </w:t>
      </w:r>
      <w:r w:rsidR="00AE7EF7">
        <w:rPr>
          <w:rFonts w:ascii="Times New Roman" w:hAnsi="Times New Roman"/>
        </w:rPr>
        <w:t xml:space="preserve">= </w:t>
      </w:r>
      <w:r w:rsidR="001718DC">
        <w:rPr>
          <w:rFonts w:ascii="Times New Roman" w:hAnsi="Times New Roman"/>
        </w:rPr>
        <w:t>22.8</w:t>
      </w:r>
      <w:r w:rsidRPr="002208A3">
        <w:rPr>
          <w:rFonts w:ascii="Times New Roman" w:hAnsi="Times New Roman"/>
        </w:rPr>
        <w:t xml:space="preserve">) were recruited for a study on Interdependent Security Games. Participants' compensation depended entirely on the outcome of the experiment, as described below. </w:t>
      </w:r>
    </w:p>
    <w:p w14:paraId="36708815" w14:textId="77777777" w:rsidR="007F39CB" w:rsidRPr="002208A3" w:rsidRDefault="007F39CB" w:rsidP="007F39CB">
      <w:pPr>
        <w:spacing w:line="480" w:lineRule="auto"/>
        <w:rPr>
          <w:rFonts w:ascii="Times New Roman" w:hAnsi="Times New Roman"/>
        </w:rPr>
      </w:pPr>
      <w:r w:rsidRPr="002208A3">
        <w:rPr>
          <w:rFonts w:ascii="Times New Roman" w:hAnsi="Times New Roman"/>
        </w:rPr>
        <w:tab/>
        <w:t xml:space="preserve">The study materials, were modeled after </w:t>
      </w:r>
      <w:proofErr w:type="spellStart"/>
      <w:r w:rsidRPr="002208A3">
        <w:rPr>
          <w:rFonts w:ascii="Times New Roman" w:hAnsi="Times New Roman"/>
        </w:rPr>
        <w:t>Kunreuther</w:t>
      </w:r>
      <w:proofErr w:type="spellEnd"/>
      <w:r w:rsidRPr="002208A3">
        <w:rPr>
          <w:rFonts w:ascii="Times New Roman" w:hAnsi="Times New Roman"/>
        </w:rPr>
        <w:t xml:space="preserve"> et al</w:t>
      </w:r>
      <w:r>
        <w:rPr>
          <w:rFonts w:ascii="Times New Roman" w:hAnsi="Times New Roman"/>
        </w:rPr>
        <w:t>.</w:t>
      </w:r>
      <w:r w:rsidRPr="002208A3">
        <w:rPr>
          <w:rFonts w:ascii="Times New Roman" w:hAnsi="Times New Roman"/>
        </w:rPr>
        <w:t xml:space="preserve"> </w:t>
      </w:r>
      <w:r w:rsidRPr="002208A3">
        <w:rPr>
          <w:rFonts w:ascii="Times New Roman" w:hAnsi="Times New Roman"/>
        </w:rPr>
        <w:fldChar w:fldCharType="begin"/>
      </w:r>
      <w:r>
        <w:rPr>
          <w:rFonts w:ascii="Times New Roman" w:hAnsi="Times New Roman"/>
        </w:rPr>
        <w:instrText xml:space="preserve"> ADDIN EN.CITE &lt;EndNote&gt;&lt;Cite ExcludeAuth="1"&gt;&lt;Author&gt;Kunreuther&lt;/Author&gt;&lt;Year&gt;2009&lt;/Year&gt;&lt;RecNum&gt;138&lt;/RecNum&gt;&lt;DisplayText&gt;(2009)&lt;/DisplayText&gt;&lt;record&gt;&lt;rec-number&gt;138&lt;/rec-number&gt;&lt;foreign-keys&gt;&lt;key app="EN" db-id="ps05de90q9zfz1eprrsxd9entrap2v5x99e0" timestamp="0"&gt;138&lt;/key&gt;&lt;/foreign-keys&gt;&lt;ref-type name="Journal Article"&gt;17&lt;/ref-type&gt;&lt;contributors&gt;&lt;authors&gt;&lt;author&gt;Kunreuther, Howard C.&lt;/author&gt;&lt;author&gt;Silvasi, Gabriel&lt;/author&gt;&lt;author&gt;Bradlow, Eric T.&lt;/author&gt;&lt;author&gt;Small, Dylan&lt;/author&gt;&lt;/authors&gt;&lt;/contributors&gt;&lt;titles&gt;&lt;title&gt;Bayesian analysis of deterministic and stochastic prisoner&amp;apos;s dilemma games&lt;/title&gt;&lt;secondary-title&gt;Judgment and Decision Making&lt;/secondary-title&gt;&lt;/titles&gt;&lt;periodical&gt;&lt;full-title&gt;Judgment and Decision Making&lt;/full-title&gt;&lt;/periodical&gt;&lt;pages&gt;363-384&lt;/pages&gt;&lt;volume&gt;4&lt;/volume&gt;&lt;number&gt;5&lt;/number&gt;&lt;dates&gt;&lt;year&gt;2009&lt;/year&gt;&lt;/dates&gt;&lt;urls&gt;&lt;/urls&gt;&lt;/record&gt;&lt;/Cite&gt;&lt;/EndNote&gt;</w:instrText>
      </w:r>
      <w:r w:rsidRPr="002208A3">
        <w:rPr>
          <w:rFonts w:ascii="Times New Roman" w:hAnsi="Times New Roman"/>
        </w:rPr>
        <w:fldChar w:fldCharType="separate"/>
      </w:r>
      <w:r>
        <w:rPr>
          <w:rFonts w:ascii="Times New Roman" w:hAnsi="Times New Roman"/>
          <w:noProof/>
        </w:rPr>
        <w:t>(2009)</w:t>
      </w:r>
      <w:r w:rsidRPr="002208A3">
        <w:rPr>
          <w:rFonts w:ascii="Times New Roman" w:hAnsi="Times New Roman"/>
        </w:rPr>
        <w:fldChar w:fldCharType="end"/>
      </w:r>
      <w:r w:rsidRPr="002208A3">
        <w:rPr>
          <w:rFonts w:ascii="Times New Roman" w:hAnsi="Times New Roman"/>
        </w:rPr>
        <w:t xml:space="preserve"> and Gong et al</w:t>
      </w:r>
      <w:r>
        <w:rPr>
          <w:rFonts w:ascii="Times New Roman" w:hAnsi="Times New Roman"/>
        </w:rPr>
        <w:t>.</w:t>
      </w:r>
      <w:r w:rsidRPr="002208A3">
        <w:rPr>
          <w:rFonts w:ascii="Times New Roman" w:hAnsi="Times New Roman"/>
        </w:rPr>
        <w:t xml:space="preserve"> </w:t>
      </w:r>
      <w:r w:rsidRPr="002208A3">
        <w:rPr>
          <w:rFonts w:ascii="Times New Roman" w:hAnsi="Times New Roman"/>
        </w:rPr>
        <w:fldChar w:fldCharType="begin"/>
      </w:r>
      <w:r>
        <w:rPr>
          <w:rFonts w:ascii="Times New Roman" w:hAnsi="Times New Roman"/>
        </w:rPr>
        <w:instrText xml:space="preserve"> ADDIN EN.CITE &lt;EndNote&gt;&lt;Cite ExcludeAuth="1"&gt;&lt;Author&gt;Gong&lt;/Author&gt;&lt;Year&gt;2009&lt;/Year&gt;&lt;RecNum&gt;139&lt;/RecNum&gt;&lt;DisplayText&gt;(2009)&lt;/DisplayText&gt;&lt;record&gt;&lt;rec-number&gt;139&lt;/rec-number&gt;&lt;foreign-keys&gt;&lt;key app="EN" db-id="ps05de90q9zfz1eprrsxd9entrap2v5x99e0" timestamp="0"&gt;139&lt;/key&gt;&lt;/foreign-keys&gt;&lt;ref-type name="Journal Article"&gt;17&lt;/ref-type&gt;&lt;contributors&gt;&lt;authors&gt;&lt;author&gt;Gong, Min&lt;/author&gt;&lt;author&gt;Baron, Jonathan&lt;/author&gt;&lt;author&gt;Kunreuther, Howard C.&lt;/author&gt;&lt;/authors&gt;&lt;/contributors&gt;&lt;titles&gt;&lt;title&gt;Group cooperation under uncertainty&lt;/title&gt;&lt;secondary-title&gt;Journal of Risk &amp;amp; Uncertainty&lt;/secondary-title&gt;&lt;/titles&gt;&lt;pages&gt;251-270&lt;/pages&gt;&lt;volume&gt;39&lt;/volume&gt;&lt;dates&gt;&lt;year&gt;2009&lt;/year&gt;&lt;/dates&gt;&lt;urls&gt;&lt;/urls&gt;&lt;electronic-resource-num&gt;10.1007/s11166-009-9080-2&lt;/electronic-resource-num&gt;&lt;/record&gt;&lt;/Cite&gt;&lt;/EndNote&gt;</w:instrText>
      </w:r>
      <w:r w:rsidRPr="002208A3">
        <w:rPr>
          <w:rFonts w:ascii="Times New Roman" w:hAnsi="Times New Roman"/>
        </w:rPr>
        <w:fldChar w:fldCharType="separate"/>
      </w:r>
      <w:r>
        <w:rPr>
          <w:rFonts w:ascii="Times New Roman" w:hAnsi="Times New Roman"/>
          <w:noProof/>
        </w:rPr>
        <w:t>(2009)</w:t>
      </w:r>
      <w:r w:rsidRPr="002208A3">
        <w:rPr>
          <w:rFonts w:ascii="Times New Roman" w:hAnsi="Times New Roman"/>
        </w:rPr>
        <w:fldChar w:fldCharType="end"/>
      </w:r>
      <w:r w:rsidRPr="002208A3">
        <w:rPr>
          <w:rFonts w:ascii="Times New Roman" w:hAnsi="Times New Roman"/>
        </w:rPr>
        <w:t>. Similar to previous studies, we used the Indonesian Rupiah (Rp)</w:t>
      </w:r>
      <w:r>
        <w:rPr>
          <w:rFonts w:ascii="Times New Roman" w:hAnsi="Times New Roman"/>
        </w:rPr>
        <w:t xml:space="preserve"> as our experimental currency.</w:t>
      </w:r>
      <w:r w:rsidRPr="002208A3">
        <w:rPr>
          <w:rFonts w:ascii="Times New Roman" w:hAnsi="Times New Roman"/>
        </w:rPr>
        <w:t xml:space="preserve"> </w:t>
      </w:r>
    </w:p>
    <w:p w14:paraId="16217110" w14:textId="77777777" w:rsidR="007F39CB" w:rsidRPr="002208A3" w:rsidRDefault="007F39CB" w:rsidP="007F39CB">
      <w:pPr>
        <w:spacing w:line="480" w:lineRule="auto"/>
        <w:rPr>
          <w:rFonts w:ascii="Times New Roman" w:hAnsi="Times New Roman"/>
        </w:rPr>
      </w:pPr>
      <w:r w:rsidRPr="002208A3">
        <w:rPr>
          <w:rFonts w:ascii="Times New Roman" w:hAnsi="Times New Roman"/>
        </w:rPr>
        <w:tab/>
        <w:t xml:space="preserve">Each participant was seated at a computer and instructed not to communicate with any of the other participants. After agreeing to the consent form, participants read 5 pages of instructions. They learned that they would play a scenario in which their payment would depend on their choices as well as those of a counterpart. They were told to imagine they </w:t>
      </w:r>
      <w:r>
        <w:rPr>
          <w:rFonts w:ascii="Times New Roman" w:hAnsi="Times New Roman"/>
        </w:rPr>
        <w:t>held a shared risky venture in Indonesia</w:t>
      </w:r>
      <w:r w:rsidRPr="002208A3">
        <w:rPr>
          <w:rFonts w:ascii="Times New Roman" w:hAnsi="Times New Roman"/>
        </w:rPr>
        <w:t>. Each "</w:t>
      </w:r>
      <w:r>
        <w:rPr>
          <w:rFonts w:ascii="Times New Roman" w:hAnsi="Times New Roman"/>
        </w:rPr>
        <w:t>month</w:t>
      </w:r>
      <w:r w:rsidRPr="002208A3">
        <w:rPr>
          <w:rFonts w:ascii="Times New Roman" w:hAnsi="Times New Roman"/>
        </w:rPr>
        <w:t>" (</w:t>
      </w:r>
      <w:proofErr w:type="spellStart"/>
      <w:r w:rsidRPr="002208A3">
        <w:rPr>
          <w:rFonts w:ascii="Times New Roman" w:hAnsi="Times New Roman"/>
        </w:rPr>
        <w:t>ie</w:t>
      </w:r>
      <w:proofErr w:type="spellEnd"/>
      <w:r w:rsidRPr="002208A3">
        <w:rPr>
          <w:rFonts w:ascii="Times New Roman" w:hAnsi="Times New Roman"/>
        </w:rPr>
        <w:t xml:space="preserve">, game round), they would earn 8,500 Rp from their </w:t>
      </w:r>
      <w:r>
        <w:rPr>
          <w:rFonts w:ascii="Times New Roman" w:hAnsi="Times New Roman"/>
        </w:rPr>
        <w:t>investments</w:t>
      </w:r>
      <w:r w:rsidRPr="002208A3">
        <w:rPr>
          <w:rFonts w:ascii="Times New Roman" w:hAnsi="Times New Roman"/>
        </w:rPr>
        <w:t xml:space="preserve">. However, </w:t>
      </w:r>
      <w:r>
        <w:rPr>
          <w:rFonts w:ascii="Times New Roman" w:hAnsi="Times New Roman"/>
        </w:rPr>
        <w:t>there was a small chance (4%) of a big financial loss</w:t>
      </w:r>
      <w:r w:rsidRPr="002208A3">
        <w:rPr>
          <w:rFonts w:ascii="Times New Roman" w:hAnsi="Times New Roman"/>
        </w:rPr>
        <w:t xml:space="preserve">, also affecting their counterpart. </w:t>
      </w:r>
    </w:p>
    <w:p w14:paraId="1BFB27B7" w14:textId="77777777" w:rsidR="007F39CB" w:rsidRPr="002208A3" w:rsidRDefault="007F39CB" w:rsidP="007F39CB">
      <w:pPr>
        <w:spacing w:line="480" w:lineRule="auto"/>
        <w:rPr>
          <w:rFonts w:ascii="Times New Roman" w:hAnsi="Times New Roman"/>
        </w:rPr>
      </w:pPr>
      <w:r w:rsidRPr="002208A3">
        <w:rPr>
          <w:rFonts w:ascii="Times New Roman" w:hAnsi="Times New Roman"/>
        </w:rPr>
        <w:tab/>
        <w:t xml:space="preserve">Participants learned they had the option each year to invest in a </w:t>
      </w:r>
      <w:r>
        <w:rPr>
          <w:rFonts w:ascii="Times New Roman" w:hAnsi="Times New Roman"/>
        </w:rPr>
        <w:t>protective measure for 1400 Rp which would protect them against the big loss</w:t>
      </w:r>
      <w:r w:rsidRPr="002208A3">
        <w:rPr>
          <w:rFonts w:ascii="Times New Roman" w:hAnsi="Times New Roman"/>
        </w:rPr>
        <w:t xml:space="preserve">. However, </w:t>
      </w:r>
      <w:r>
        <w:rPr>
          <w:rFonts w:ascii="Times New Roman" w:hAnsi="Times New Roman"/>
        </w:rPr>
        <w:t>the loss</w:t>
      </w:r>
      <w:r w:rsidRPr="002208A3">
        <w:rPr>
          <w:rFonts w:ascii="Times New Roman" w:hAnsi="Times New Roman"/>
        </w:rPr>
        <w:t xml:space="preserve"> was only completely eliminated if both counterparts invested. Participants learned </w:t>
      </w:r>
      <w:r>
        <w:rPr>
          <w:rFonts w:ascii="Times New Roman" w:hAnsi="Times New Roman"/>
        </w:rPr>
        <w:t xml:space="preserve">that they </w:t>
      </w:r>
      <w:r w:rsidRPr="002208A3">
        <w:rPr>
          <w:rFonts w:ascii="Times New Roman" w:hAnsi="Times New Roman"/>
        </w:rPr>
        <w:t xml:space="preserve">would play a 20-year session with one anonymous counterpart, after which they </w:t>
      </w:r>
      <w:r w:rsidRPr="002208A3">
        <w:rPr>
          <w:rFonts w:ascii="Times New Roman" w:hAnsi="Times New Roman"/>
        </w:rPr>
        <w:lastRenderedPageBreak/>
        <w:t xml:space="preserve">would again be randomly paired with a new counterpart and play another session. They would play </w:t>
      </w:r>
      <w:r>
        <w:rPr>
          <w:rFonts w:ascii="Times New Roman" w:hAnsi="Times New Roman"/>
        </w:rPr>
        <w:t>3</w:t>
      </w:r>
      <w:r w:rsidRPr="002208A3">
        <w:rPr>
          <w:rFonts w:ascii="Times New Roman" w:hAnsi="Times New Roman"/>
        </w:rPr>
        <w:t xml:space="preserve"> sessions in total, one of which would be randomly selected and have all rounds paid out for real money (converted to dollars). </w:t>
      </w:r>
    </w:p>
    <w:p w14:paraId="0D2F541A" w14:textId="279A9200" w:rsidR="007F39CB" w:rsidRDefault="007F39CB" w:rsidP="007F39CB">
      <w:pPr>
        <w:spacing w:line="480" w:lineRule="auto"/>
        <w:rPr>
          <w:rFonts w:ascii="Times New Roman" w:hAnsi="Times New Roman"/>
        </w:rPr>
      </w:pPr>
      <w:r w:rsidRPr="002208A3">
        <w:rPr>
          <w:rFonts w:ascii="Times New Roman" w:hAnsi="Times New Roman"/>
        </w:rPr>
        <w:tab/>
        <w:t xml:space="preserve">After reading the instructions, participants saw a payoff matrix summarizing the contingencies (see </w:t>
      </w:r>
      <w:r>
        <w:rPr>
          <w:rFonts w:ascii="Times New Roman" w:hAnsi="Times New Roman"/>
        </w:rPr>
        <w:t xml:space="preserve">Table </w:t>
      </w:r>
      <w:r w:rsidR="00C40E99">
        <w:rPr>
          <w:rFonts w:ascii="Times New Roman" w:hAnsi="Times New Roman"/>
        </w:rPr>
        <w:t>5</w:t>
      </w:r>
      <w:r w:rsidRPr="002208A3">
        <w:rPr>
          <w:rFonts w:ascii="Times New Roman" w:hAnsi="Times New Roman"/>
        </w:rPr>
        <w:t xml:space="preserve">). </w:t>
      </w:r>
      <w:r>
        <w:rPr>
          <w:rFonts w:ascii="Times New Roman" w:hAnsi="Times New Roman"/>
        </w:rPr>
        <w:t>Similar to the previous studies, there was a comprehension test on the rules of the game.</w:t>
      </w:r>
    </w:p>
    <w:p w14:paraId="536B61DD" w14:textId="48043175" w:rsidR="00C40E99" w:rsidRPr="00C40E99" w:rsidRDefault="00C40E99" w:rsidP="007F39CB">
      <w:pPr>
        <w:spacing w:line="480" w:lineRule="auto"/>
        <w:rPr>
          <w:rFonts w:ascii="Times New Roman" w:hAnsi="Times New Roman"/>
          <w:i/>
          <w:iCs/>
        </w:rPr>
      </w:pPr>
      <w:r w:rsidRPr="00C40E99">
        <w:rPr>
          <w:rFonts w:ascii="Times New Roman" w:hAnsi="Times New Roman"/>
          <w:i/>
          <w:iCs/>
        </w:rPr>
        <w:t xml:space="preserve">Table </w:t>
      </w:r>
      <w:r>
        <w:rPr>
          <w:rFonts w:ascii="Times New Roman" w:hAnsi="Times New Roman"/>
          <w:i/>
          <w:iCs/>
        </w:rPr>
        <w:t>5</w:t>
      </w:r>
      <w:r w:rsidRPr="00C40E99">
        <w:rPr>
          <w:rFonts w:ascii="Times New Roman" w:hAnsi="Times New Roman"/>
          <w:i/>
          <w:iCs/>
        </w:rPr>
        <w:t xml:space="preserve">. Payoff matrix shown to participants in Study 6. </w:t>
      </w:r>
    </w:p>
    <w:tbl>
      <w:tblPr>
        <w:tblStyle w:val="TableGrid1"/>
        <w:tblW w:w="0" w:type="auto"/>
        <w:tblLook w:val="01E0" w:firstRow="1" w:lastRow="1" w:firstColumn="1" w:lastColumn="1" w:noHBand="0" w:noVBand="0"/>
      </w:tblPr>
      <w:tblGrid>
        <w:gridCol w:w="646"/>
        <w:gridCol w:w="1248"/>
        <w:gridCol w:w="3145"/>
        <w:gridCol w:w="3591"/>
      </w:tblGrid>
      <w:tr w:rsidR="007F39CB" w:rsidRPr="007C269D" w14:paraId="60F65332" w14:textId="77777777" w:rsidTr="00073B13">
        <w:tc>
          <w:tcPr>
            <w:tcW w:w="1908" w:type="dxa"/>
            <w:gridSpan w:val="2"/>
            <w:vMerge w:val="restart"/>
          </w:tcPr>
          <w:p w14:paraId="6BBA1AE5"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p>
        </w:tc>
        <w:tc>
          <w:tcPr>
            <w:tcW w:w="6948" w:type="dxa"/>
            <w:gridSpan w:val="2"/>
          </w:tcPr>
          <w:p w14:paraId="5DA6BEE6" w14:textId="77777777" w:rsidR="007F39CB" w:rsidRPr="007C269D" w:rsidRDefault="007F39CB" w:rsidP="00073B13">
            <w:pPr>
              <w:autoSpaceDE w:val="0"/>
              <w:autoSpaceDN w:val="0"/>
              <w:adjustRightInd w:val="0"/>
              <w:spacing w:after="200" w:line="276" w:lineRule="auto"/>
              <w:jc w:val="center"/>
              <w:rPr>
                <w:rFonts w:ascii="Times New Roman" w:hAnsi="Times New Roman" w:cs="Times New Roman"/>
                <w:sz w:val="22"/>
                <w:szCs w:val="22"/>
              </w:rPr>
            </w:pPr>
            <w:r w:rsidRPr="007C269D">
              <w:rPr>
                <w:rFonts w:ascii="Times New Roman" w:hAnsi="Times New Roman" w:cs="Times New Roman"/>
                <w:sz w:val="22"/>
                <w:szCs w:val="22"/>
              </w:rPr>
              <w:t>Your Counterpart</w:t>
            </w:r>
          </w:p>
        </w:tc>
      </w:tr>
      <w:tr w:rsidR="007F39CB" w:rsidRPr="007C269D" w14:paraId="0A8C2E7F" w14:textId="77777777" w:rsidTr="00073B13">
        <w:tc>
          <w:tcPr>
            <w:tcW w:w="1908" w:type="dxa"/>
            <w:gridSpan w:val="2"/>
            <w:vMerge/>
          </w:tcPr>
          <w:p w14:paraId="64E2969B"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p>
        </w:tc>
        <w:tc>
          <w:tcPr>
            <w:tcW w:w="3240" w:type="dxa"/>
          </w:tcPr>
          <w:p w14:paraId="63B8924C"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INVEST</w:t>
            </w:r>
          </w:p>
        </w:tc>
        <w:tc>
          <w:tcPr>
            <w:tcW w:w="3708" w:type="dxa"/>
          </w:tcPr>
          <w:p w14:paraId="3AD14D38"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NOT INVEST</w:t>
            </w:r>
          </w:p>
        </w:tc>
      </w:tr>
      <w:tr w:rsidR="007F39CB" w:rsidRPr="007C269D" w14:paraId="7A5E89EA" w14:textId="77777777" w:rsidTr="00073B13">
        <w:tc>
          <w:tcPr>
            <w:tcW w:w="648" w:type="dxa"/>
            <w:vMerge w:val="restart"/>
          </w:tcPr>
          <w:p w14:paraId="3EE066C0"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p>
          <w:p w14:paraId="41D29876"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You</w:t>
            </w:r>
          </w:p>
        </w:tc>
        <w:tc>
          <w:tcPr>
            <w:tcW w:w="1260" w:type="dxa"/>
          </w:tcPr>
          <w:p w14:paraId="472FAFFF"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INVEST</w:t>
            </w:r>
          </w:p>
        </w:tc>
        <w:tc>
          <w:tcPr>
            <w:tcW w:w="3240" w:type="dxa"/>
          </w:tcPr>
          <w:p w14:paraId="0B7FAE45"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 xml:space="preserve">- You definitely lose </w:t>
            </w:r>
            <w:r w:rsidRPr="007C269D">
              <w:rPr>
                <w:rFonts w:ascii="Times New Roman" w:hAnsi="Times New Roman" w:cs="Times New Roman"/>
                <w:b/>
                <w:bCs/>
                <w:sz w:val="22"/>
                <w:szCs w:val="22"/>
              </w:rPr>
              <w:t>1,400 Rp</w:t>
            </w:r>
            <w:r w:rsidRPr="007C269D">
              <w:rPr>
                <w:rFonts w:ascii="Times New Roman" w:hAnsi="Times New Roman" w:cs="Times New Roman"/>
                <w:sz w:val="22"/>
                <w:szCs w:val="22"/>
              </w:rPr>
              <w:t>, and have a 0% chance of the large loss occurring.</w:t>
            </w:r>
            <w:r w:rsidRPr="007C269D">
              <w:rPr>
                <w:rFonts w:ascii="Times New Roman" w:hAnsi="Times New Roman" w:cs="Times New Roman"/>
                <w:sz w:val="22"/>
                <w:szCs w:val="22"/>
              </w:rPr>
              <w:br/>
            </w:r>
            <w:r w:rsidRPr="007C269D">
              <w:rPr>
                <w:rFonts w:ascii="Times New Roman" w:hAnsi="Times New Roman" w:cs="Times New Roman"/>
                <w:sz w:val="22"/>
                <w:szCs w:val="22"/>
              </w:rPr>
              <w:br/>
              <w:t xml:space="preserve">- Your counterpart definitely loses </w:t>
            </w:r>
            <w:r w:rsidRPr="007C269D">
              <w:rPr>
                <w:rFonts w:ascii="Times New Roman" w:hAnsi="Times New Roman" w:cs="Times New Roman"/>
                <w:b/>
                <w:bCs/>
                <w:sz w:val="22"/>
                <w:szCs w:val="22"/>
              </w:rPr>
              <w:t>1,400 Rp</w:t>
            </w:r>
            <w:r w:rsidRPr="007C269D">
              <w:rPr>
                <w:rFonts w:ascii="Times New Roman" w:hAnsi="Times New Roman" w:cs="Times New Roman"/>
                <w:sz w:val="22"/>
                <w:szCs w:val="22"/>
              </w:rPr>
              <w:t>, and has a 0% chance of the large loss occurring.</w:t>
            </w:r>
          </w:p>
        </w:tc>
        <w:tc>
          <w:tcPr>
            <w:tcW w:w="3708" w:type="dxa"/>
          </w:tcPr>
          <w:p w14:paraId="3C4D3E5F"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 xml:space="preserve">- You definitely lose </w:t>
            </w:r>
            <w:r w:rsidRPr="007C269D">
              <w:rPr>
                <w:rFonts w:ascii="Times New Roman" w:hAnsi="Times New Roman" w:cs="Times New Roman"/>
                <w:b/>
                <w:bCs/>
                <w:sz w:val="22"/>
                <w:szCs w:val="22"/>
              </w:rPr>
              <w:t>1,400 Rp</w:t>
            </w:r>
            <w:r w:rsidRPr="007C269D">
              <w:rPr>
                <w:rFonts w:ascii="Times New Roman" w:hAnsi="Times New Roman" w:cs="Times New Roman"/>
                <w:sz w:val="22"/>
                <w:szCs w:val="22"/>
              </w:rPr>
              <w:t xml:space="preserve"> and have a 1% chance of losing an additional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w:t>
            </w:r>
            <w:r w:rsidRPr="007C269D">
              <w:rPr>
                <w:rFonts w:ascii="Times New Roman" w:hAnsi="Times New Roman" w:cs="Times New Roman"/>
                <w:sz w:val="22"/>
                <w:szCs w:val="22"/>
              </w:rPr>
              <w:br/>
            </w:r>
            <w:r w:rsidRPr="007C269D">
              <w:rPr>
                <w:rFonts w:ascii="Times New Roman" w:hAnsi="Times New Roman" w:cs="Times New Roman"/>
                <w:sz w:val="22"/>
                <w:szCs w:val="22"/>
              </w:rPr>
              <w:br/>
              <w:t xml:space="preserve">- Your counterpart has a 3% chance of losing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 xml:space="preserve"> and a 97% chance of losing </w:t>
            </w:r>
            <w:r w:rsidRPr="007C269D">
              <w:rPr>
                <w:rFonts w:ascii="Times New Roman" w:hAnsi="Times New Roman" w:cs="Times New Roman"/>
                <w:b/>
                <w:bCs/>
                <w:sz w:val="22"/>
                <w:szCs w:val="22"/>
              </w:rPr>
              <w:t>0 Rp</w:t>
            </w:r>
            <w:r w:rsidRPr="007C269D">
              <w:rPr>
                <w:rFonts w:ascii="Times New Roman" w:hAnsi="Times New Roman" w:cs="Times New Roman"/>
                <w:bCs/>
                <w:sz w:val="22"/>
                <w:szCs w:val="22"/>
              </w:rPr>
              <w:t>.</w:t>
            </w:r>
          </w:p>
        </w:tc>
      </w:tr>
      <w:tr w:rsidR="007F39CB" w:rsidRPr="007C269D" w14:paraId="2EAC8158" w14:textId="77777777" w:rsidTr="00073B13">
        <w:tc>
          <w:tcPr>
            <w:tcW w:w="648" w:type="dxa"/>
            <w:vMerge/>
          </w:tcPr>
          <w:p w14:paraId="17DDDA2F"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p>
        </w:tc>
        <w:tc>
          <w:tcPr>
            <w:tcW w:w="1260" w:type="dxa"/>
          </w:tcPr>
          <w:p w14:paraId="35080070"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NOT INVEST</w:t>
            </w:r>
          </w:p>
        </w:tc>
        <w:tc>
          <w:tcPr>
            <w:tcW w:w="3240" w:type="dxa"/>
          </w:tcPr>
          <w:p w14:paraId="0F05877B"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 xml:space="preserve">- You have a 3% chance of losing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 xml:space="preserve"> and a 97% chance of losing </w:t>
            </w:r>
            <w:r w:rsidRPr="007C269D">
              <w:rPr>
                <w:rFonts w:ascii="Times New Roman" w:hAnsi="Times New Roman" w:cs="Times New Roman"/>
                <w:b/>
                <w:bCs/>
                <w:sz w:val="22"/>
                <w:szCs w:val="22"/>
              </w:rPr>
              <w:t>0 Rp</w:t>
            </w:r>
            <w:r w:rsidRPr="007C269D">
              <w:rPr>
                <w:rFonts w:ascii="Times New Roman" w:hAnsi="Times New Roman" w:cs="Times New Roman"/>
                <w:sz w:val="22"/>
                <w:szCs w:val="22"/>
              </w:rPr>
              <w:t>.</w:t>
            </w:r>
            <w:r w:rsidRPr="007C269D">
              <w:rPr>
                <w:rFonts w:ascii="Times New Roman" w:hAnsi="Times New Roman" w:cs="Times New Roman"/>
                <w:sz w:val="22"/>
                <w:szCs w:val="22"/>
              </w:rPr>
              <w:br/>
            </w:r>
            <w:r w:rsidRPr="007C269D">
              <w:rPr>
                <w:rFonts w:ascii="Times New Roman" w:hAnsi="Times New Roman" w:cs="Times New Roman"/>
                <w:sz w:val="22"/>
                <w:szCs w:val="22"/>
              </w:rPr>
              <w:br/>
              <w:t xml:space="preserve">- Your counterpart definitely loses </w:t>
            </w:r>
            <w:r w:rsidRPr="007C269D">
              <w:rPr>
                <w:rFonts w:ascii="Times New Roman" w:hAnsi="Times New Roman" w:cs="Times New Roman"/>
                <w:b/>
                <w:bCs/>
                <w:sz w:val="22"/>
                <w:szCs w:val="22"/>
              </w:rPr>
              <w:t>1,400 Rp</w:t>
            </w:r>
            <w:r w:rsidRPr="007C269D">
              <w:rPr>
                <w:rFonts w:ascii="Times New Roman" w:hAnsi="Times New Roman" w:cs="Times New Roman"/>
                <w:sz w:val="22"/>
                <w:szCs w:val="22"/>
              </w:rPr>
              <w:t xml:space="preserve"> and has a 1% chance of losing an additional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w:t>
            </w:r>
          </w:p>
        </w:tc>
        <w:tc>
          <w:tcPr>
            <w:tcW w:w="3708" w:type="dxa"/>
          </w:tcPr>
          <w:p w14:paraId="622B3566" w14:textId="77777777" w:rsidR="007F39CB" w:rsidRPr="007C269D" w:rsidRDefault="007F39CB" w:rsidP="00073B13">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 xml:space="preserve">- You have a 4% chance of losing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 xml:space="preserve"> and a 96% chance of losing </w:t>
            </w:r>
            <w:r w:rsidRPr="007C269D">
              <w:rPr>
                <w:rFonts w:ascii="Times New Roman" w:hAnsi="Times New Roman" w:cs="Times New Roman"/>
                <w:b/>
                <w:bCs/>
                <w:sz w:val="22"/>
                <w:szCs w:val="22"/>
              </w:rPr>
              <w:t>0 Rp</w:t>
            </w:r>
            <w:r w:rsidRPr="007C269D">
              <w:rPr>
                <w:rFonts w:ascii="Times New Roman" w:hAnsi="Times New Roman" w:cs="Times New Roman"/>
                <w:sz w:val="22"/>
                <w:szCs w:val="22"/>
              </w:rPr>
              <w:t>.</w:t>
            </w:r>
            <w:r w:rsidRPr="007C269D">
              <w:rPr>
                <w:rFonts w:ascii="Times New Roman" w:hAnsi="Times New Roman" w:cs="Times New Roman"/>
                <w:sz w:val="22"/>
                <w:szCs w:val="22"/>
              </w:rPr>
              <w:br/>
            </w:r>
            <w:r w:rsidRPr="007C269D">
              <w:rPr>
                <w:rFonts w:ascii="Times New Roman" w:hAnsi="Times New Roman" w:cs="Times New Roman"/>
                <w:sz w:val="22"/>
                <w:szCs w:val="22"/>
              </w:rPr>
              <w:br/>
              <w:t xml:space="preserve">- Your counterpart has a 4% chance of losing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 xml:space="preserve"> and a 96% chance of losing </w:t>
            </w:r>
            <w:r w:rsidRPr="007C269D">
              <w:rPr>
                <w:rFonts w:ascii="Times New Roman" w:hAnsi="Times New Roman" w:cs="Times New Roman"/>
                <w:b/>
                <w:bCs/>
                <w:sz w:val="22"/>
                <w:szCs w:val="22"/>
              </w:rPr>
              <w:t>0 Rp</w:t>
            </w:r>
            <w:r w:rsidRPr="007C269D">
              <w:rPr>
                <w:rFonts w:ascii="Times New Roman" w:hAnsi="Times New Roman" w:cs="Times New Roman"/>
                <w:sz w:val="22"/>
                <w:szCs w:val="22"/>
              </w:rPr>
              <w:t>.</w:t>
            </w:r>
          </w:p>
        </w:tc>
      </w:tr>
    </w:tbl>
    <w:p w14:paraId="2AEAC70A" w14:textId="77777777" w:rsidR="007F39CB" w:rsidRPr="007C269D" w:rsidRDefault="007F39CB" w:rsidP="007F39CB">
      <w:pPr>
        <w:spacing w:line="480" w:lineRule="auto"/>
        <w:rPr>
          <w:rFonts w:ascii="Times New Roman" w:hAnsi="Times New Roman"/>
        </w:rPr>
      </w:pPr>
    </w:p>
    <w:p w14:paraId="0BE29BB5" w14:textId="77777777" w:rsidR="007F39CB" w:rsidRPr="002208A3" w:rsidRDefault="007F39CB" w:rsidP="007F39CB">
      <w:pPr>
        <w:spacing w:line="480" w:lineRule="auto"/>
        <w:rPr>
          <w:rFonts w:ascii="Times New Roman" w:hAnsi="Times New Roman"/>
        </w:rPr>
      </w:pPr>
      <w:r w:rsidRPr="002208A3">
        <w:rPr>
          <w:rFonts w:ascii="Times New Roman" w:hAnsi="Times New Roman"/>
        </w:rPr>
        <w:t xml:space="preserve"> Participants had to wait until all participants present had completed the knowledge test, and were then randomly paired with a counterpart for the first block of 20 rounds. Subsequently, participants were again presented with the appropriate payoff matrix, and were asked to choose whether to invest </w:t>
      </w:r>
      <w:r>
        <w:rPr>
          <w:rFonts w:ascii="Times New Roman" w:hAnsi="Times New Roman"/>
        </w:rPr>
        <w:t xml:space="preserve">in the protective measure </w:t>
      </w:r>
      <w:r w:rsidRPr="002208A3">
        <w:rPr>
          <w:rFonts w:ascii="Times New Roman" w:hAnsi="Times New Roman"/>
        </w:rPr>
        <w:t>or not</w:t>
      </w:r>
      <w:r>
        <w:rPr>
          <w:rFonts w:ascii="Times New Roman" w:hAnsi="Times New Roman"/>
        </w:rPr>
        <w:t>.</w:t>
      </w:r>
      <w:r w:rsidRPr="002208A3">
        <w:rPr>
          <w:rFonts w:ascii="Times New Roman" w:hAnsi="Times New Roman"/>
        </w:rPr>
        <w:t xml:space="preserve"> </w:t>
      </w:r>
    </w:p>
    <w:p w14:paraId="0F7C36C3" w14:textId="412267C2" w:rsidR="007F39CB" w:rsidRPr="002208A3" w:rsidRDefault="007F39CB" w:rsidP="007F39CB">
      <w:pPr>
        <w:spacing w:line="480" w:lineRule="auto"/>
        <w:rPr>
          <w:rFonts w:ascii="Times New Roman" w:hAnsi="Times New Roman"/>
        </w:rPr>
      </w:pPr>
      <w:r w:rsidRPr="002208A3">
        <w:rPr>
          <w:rFonts w:ascii="Times New Roman" w:hAnsi="Times New Roman"/>
        </w:rPr>
        <w:lastRenderedPageBreak/>
        <w:tab/>
        <w:t xml:space="preserve">Participants in the </w:t>
      </w:r>
      <w:r>
        <w:rPr>
          <w:rFonts w:ascii="Times New Roman" w:hAnsi="Times New Roman"/>
        </w:rPr>
        <w:t>repeated</w:t>
      </w:r>
      <w:r w:rsidRPr="002208A3">
        <w:rPr>
          <w:rFonts w:ascii="Times New Roman" w:hAnsi="Times New Roman"/>
        </w:rPr>
        <w:t xml:space="preserve"> condition</w:t>
      </w:r>
      <w:r w:rsidR="004A7EB2">
        <w:rPr>
          <w:rFonts w:ascii="Times New Roman" w:hAnsi="Times New Roman"/>
        </w:rPr>
        <w:t xml:space="preserve"> and non-binding precommitment condition</w:t>
      </w:r>
      <w:r w:rsidRPr="002208A3">
        <w:rPr>
          <w:rFonts w:ascii="Times New Roman" w:hAnsi="Times New Roman"/>
        </w:rPr>
        <w:t xml:space="preserve"> made a choice for the first round, and then got feedback for the first round. The feedback specified their choice, the choice of their counterpart, </w:t>
      </w:r>
      <w:r>
        <w:rPr>
          <w:rFonts w:ascii="Times New Roman" w:hAnsi="Times New Roman"/>
        </w:rPr>
        <w:t xml:space="preserve">the randomly generated number, </w:t>
      </w:r>
      <w:r w:rsidRPr="002208A3">
        <w:rPr>
          <w:rFonts w:ascii="Times New Roman" w:hAnsi="Times New Roman"/>
        </w:rPr>
        <w:t xml:space="preserve">and the end result. Participants then made their choice for the second round, got feedback for the second round, and so-on, until they finished all 20 rounds, at which time they saw a summary of the results of all 20 rounds. Participants in the </w:t>
      </w:r>
      <w:r>
        <w:rPr>
          <w:rFonts w:ascii="Times New Roman" w:hAnsi="Times New Roman"/>
        </w:rPr>
        <w:t>precommitment</w:t>
      </w:r>
      <w:r w:rsidRPr="002208A3">
        <w:rPr>
          <w:rFonts w:ascii="Times New Roman" w:hAnsi="Times New Roman"/>
        </w:rPr>
        <w:t xml:space="preserve"> condition first made choices for all 20 rounds at once</w:t>
      </w:r>
      <w:r>
        <w:rPr>
          <w:rFonts w:ascii="Times New Roman" w:hAnsi="Times New Roman"/>
        </w:rPr>
        <w:t xml:space="preserve">. </w:t>
      </w:r>
      <w:r w:rsidRPr="002208A3">
        <w:rPr>
          <w:rFonts w:ascii="Times New Roman" w:hAnsi="Times New Roman"/>
        </w:rPr>
        <w:t xml:space="preserve">They then saw round by round feedback for all 20 rounds, and then the summary of all 20 rounds. </w:t>
      </w:r>
    </w:p>
    <w:p w14:paraId="2B4D9FAC" w14:textId="77777777" w:rsidR="007F39CB" w:rsidRPr="002208A3" w:rsidRDefault="007F39CB" w:rsidP="007F39CB">
      <w:pPr>
        <w:spacing w:line="480" w:lineRule="auto"/>
        <w:rPr>
          <w:rFonts w:ascii="Times New Roman" w:hAnsi="Times New Roman"/>
        </w:rPr>
      </w:pPr>
      <w:r w:rsidRPr="002208A3">
        <w:rPr>
          <w:rFonts w:ascii="Times New Roman" w:hAnsi="Times New Roman"/>
        </w:rPr>
        <w:tab/>
        <w:t xml:space="preserve">After the summary, participants were again randomly paired with a counterpart (with replacement) and played another block. After completing all </w:t>
      </w:r>
      <w:r>
        <w:rPr>
          <w:rFonts w:ascii="Times New Roman" w:hAnsi="Times New Roman"/>
        </w:rPr>
        <w:t>3</w:t>
      </w:r>
      <w:r w:rsidRPr="002208A3">
        <w:rPr>
          <w:rFonts w:ascii="Times New Roman" w:hAnsi="Times New Roman"/>
        </w:rPr>
        <w:t xml:space="preserve"> blocks, one block was randomly selected, and each participant was paid accordingly. </w:t>
      </w:r>
    </w:p>
    <w:p w14:paraId="5BF3523D" w14:textId="048B9061" w:rsidR="007F39CB" w:rsidRPr="002208A3" w:rsidRDefault="007F39CB" w:rsidP="007F39CB">
      <w:pPr>
        <w:spacing w:line="480" w:lineRule="auto"/>
        <w:rPr>
          <w:rFonts w:ascii="Times New Roman" w:hAnsi="Times New Roman"/>
          <w:i/>
        </w:rPr>
      </w:pPr>
      <w:r w:rsidRPr="002208A3">
        <w:rPr>
          <w:rFonts w:ascii="Times New Roman" w:hAnsi="Times New Roman"/>
          <w:i/>
        </w:rPr>
        <w:t xml:space="preserve">Study </w:t>
      </w:r>
      <w:r w:rsidR="003C2ABB">
        <w:rPr>
          <w:rFonts w:ascii="Times New Roman" w:hAnsi="Times New Roman"/>
          <w:i/>
        </w:rPr>
        <w:t>6</w:t>
      </w:r>
      <w:r w:rsidRPr="002208A3">
        <w:rPr>
          <w:rFonts w:ascii="Times New Roman" w:hAnsi="Times New Roman"/>
          <w:i/>
        </w:rPr>
        <w:t>: Results</w:t>
      </w:r>
    </w:p>
    <w:p w14:paraId="20A6D650" w14:textId="600E830C" w:rsidR="007F39CB" w:rsidRDefault="007F39CB" w:rsidP="00163CD2">
      <w:pPr>
        <w:spacing w:line="480" w:lineRule="auto"/>
        <w:rPr>
          <w:rFonts w:ascii="Times New Roman" w:hAnsi="Times New Roman"/>
        </w:rPr>
      </w:pPr>
      <w:r w:rsidRPr="002208A3">
        <w:rPr>
          <w:rFonts w:ascii="Times New Roman" w:hAnsi="Times New Roman"/>
        </w:rPr>
        <w:tab/>
      </w:r>
      <w:r w:rsidR="00163CD2">
        <w:rPr>
          <w:rFonts w:ascii="Times New Roman" w:hAnsi="Times New Roman"/>
        </w:rPr>
        <w:t xml:space="preserve">As seen in Figure 6, binding precommitment increased safe choices, but non-binding precommitment did not (supporting H4). </w:t>
      </w:r>
      <w:r w:rsidRPr="002208A3">
        <w:rPr>
          <w:rFonts w:ascii="Times New Roman" w:hAnsi="Times New Roman"/>
        </w:rPr>
        <w:t>Average investment rates were computed for each participant in each block of 20 rounds and compared with a repeated-measures ANOVA. This revealed a</w:t>
      </w:r>
      <w:r w:rsidR="00124D11">
        <w:rPr>
          <w:rFonts w:ascii="Times New Roman" w:hAnsi="Times New Roman"/>
        </w:rPr>
        <w:t>n omnibus</w:t>
      </w:r>
      <w:r w:rsidRPr="002208A3">
        <w:rPr>
          <w:rFonts w:ascii="Times New Roman" w:hAnsi="Times New Roman"/>
        </w:rPr>
        <w:t xml:space="preserve"> main effect of condition, </w:t>
      </w:r>
      <w:proofErr w:type="gramStart"/>
      <w:r w:rsidRPr="002208A3">
        <w:rPr>
          <w:rFonts w:ascii="Times New Roman" w:hAnsi="Times New Roman"/>
          <w:i/>
        </w:rPr>
        <w:t>F</w:t>
      </w:r>
      <w:r w:rsidRPr="002208A3">
        <w:rPr>
          <w:rFonts w:ascii="Times New Roman" w:hAnsi="Times New Roman"/>
        </w:rPr>
        <w:t>(</w:t>
      </w:r>
      <w:proofErr w:type="gramEnd"/>
      <w:r w:rsidRPr="002208A3">
        <w:rPr>
          <w:rFonts w:ascii="Times New Roman" w:hAnsi="Times New Roman"/>
        </w:rPr>
        <w:t>2,</w:t>
      </w:r>
      <w:r>
        <w:rPr>
          <w:rFonts w:ascii="Times New Roman" w:hAnsi="Times New Roman"/>
        </w:rPr>
        <w:t>157</w:t>
      </w:r>
      <w:r w:rsidRPr="002208A3">
        <w:rPr>
          <w:rFonts w:ascii="Times New Roman" w:hAnsi="Times New Roman"/>
        </w:rPr>
        <w:t>)=</w:t>
      </w:r>
      <w:r>
        <w:rPr>
          <w:rFonts w:ascii="Times New Roman" w:hAnsi="Times New Roman"/>
        </w:rPr>
        <w:t>6.51</w:t>
      </w:r>
      <w:r w:rsidRPr="002208A3">
        <w:rPr>
          <w:rFonts w:ascii="Times New Roman" w:hAnsi="Times New Roman"/>
        </w:rPr>
        <w:t xml:space="preserve">, </w:t>
      </w:r>
      <w:r w:rsidRPr="002208A3">
        <w:rPr>
          <w:rFonts w:ascii="Times New Roman" w:hAnsi="Times New Roman"/>
          <w:i/>
        </w:rPr>
        <w:t>p</w:t>
      </w:r>
      <w:r>
        <w:rPr>
          <w:rFonts w:ascii="Times New Roman" w:hAnsi="Times New Roman"/>
        </w:rPr>
        <w:t>=</w:t>
      </w:r>
      <w:r w:rsidRPr="002208A3">
        <w:rPr>
          <w:rFonts w:ascii="Times New Roman" w:hAnsi="Times New Roman"/>
        </w:rPr>
        <w:t>.00</w:t>
      </w:r>
      <w:r>
        <w:rPr>
          <w:rFonts w:ascii="Times New Roman" w:hAnsi="Times New Roman"/>
        </w:rPr>
        <w:t>2</w:t>
      </w:r>
      <w:r w:rsidR="00124D11">
        <w:rPr>
          <w:rFonts w:ascii="Times New Roman" w:hAnsi="Times New Roman"/>
        </w:rPr>
        <w:t>. A follow-up LSD post-hoc test</w:t>
      </w:r>
      <w:r w:rsidRPr="002208A3">
        <w:rPr>
          <w:rFonts w:ascii="Times New Roman" w:hAnsi="Times New Roman"/>
        </w:rPr>
        <w:t xml:space="preserve"> indicat</w:t>
      </w:r>
      <w:r w:rsidR="00124D11">
        <w:rPr>
          <w:rFonts w:ascii="Times New Roman" w:hAnsi="Times New Roman"/>
        </w:rPr>
        <w:t>ed</w:t>
      </w:r>
      <w:r w:rsidRPr="002208A3">
        <w:rPr>
          <w:rFonts w:ascii="Times New Roman" w:hAnsi="Times New Roman"/>
        </w:rPr>
        <w:t xml:space="preserve"> that investment rates in the </w:t>
      </w:r>
      <w:r>
        <w:rPr>
          <w:rFonts w:ascii="Times New Roman" w:hAnsi="Times New Roman"/>
        </w:rPr>
        <w:t>precommitment</w:t>
      </w:r>
      <w:r w:rsidRPr="002208A3">
        <w:rPr>
          <w:rFonts w:ascii="Times New Roman" w:hAnsi="Times New Roman"/>
        </w:rPr>
        <w:t xml:space="preserve"> condition (</w:t>
      </w:r>
      <w:r>
        <w:rPr>
          <w:rFonts w:ascii="Times New Roman" w:hAnsi="Times New Roman"/>
        </w:rPr>
        <w:t>M=</w:t>
      </w:r>
      <w:r w:rsidRPr="002208A3">
        <w:rPr>
          <w:rFonts w:ascii="Times New Roman" w:hAnsi="Times New Roman"/>
        </w:rPr>
        <w:t xml:space="preserve"> .</w:t>
      </w:r>
      <w:r>
        <w:rPr>
          <w:rFonts w:ascii="Times New Roman" w:hAnsi="Times New Roman"/>
        </w:rPr>
        <w:t>49</w:t>
      </w:r>
      <w:r w:rsidRPr="002208A3">
        <w:rPr>
          <w:rFonts w:ascii="Times New Roman" w:hAnsi="Times New Roman"/>
        </w:rPr>
        <w:t>)</w:t>
      </w:r>
      <w:r>
        <w:rPr>
          <w:rFonts w:ascii="Times New Roman" w:hAnsi="Times New Roman"/>
        </w:rPr>
        <w:t xml:space="preserve"> were higher than the non-binding precommitment (M= .32, </w:t>
      </w:r>
      <w:r w:rsidRPr="00C66BA7">
        <w:rPr>
          <w:rFonts w:ascii="Times New Roman" w:hAnsi="Times New Roman"/>
          <w:i/>
          <w:iCs/>
        </w:rPr>
        <w:t>p</w:t>
      </w:r>
      <w:r>
        <w:rPr>
          <w:rFonts w:ascii="Times New Roman" w:hAnsi="Times New Roman"/>
        </w:rPr>
        <w:t xml:space="preserve">= .003) and repeated conditions (M= .31, </w:t>
      </w:r>
      <w:r w:rsidRPr="00C66BA7">
        <w:rPr>
          <w:rFonts w:ascii="Times New Roman" w:hAnsi="Times New Roman"/>
          <w:i/>
          <w:iCs/>
        </w:rPr>
        <w:t>p</w:t>
      </w:r>
      <w:r>
        <w:rPr>
          <w:rFonts w:ascii="Times New Roman" w:hAnsi="Times New Roman"/>
        </w:rPr>
        <w:t>= .002)</w:t>
      </w:r>
      <w:r w:rsidRPr="002208A3">
        <w:rPr>
          <w:rFonts w:ascii="Times New Roman" w:hAnsi="Times New Roman"/>
        </w:rPr>
        <w:t xml:space="preserve"> </w:t>
      </w:r>
      <w:r>
        <w:rPr>
          <w:rFonts w:ascii="Times New Roman" w:hAnsi="Times New Roman"/>
        </w:rPr>
        <w:t>while the latter two were not statistically different (</w:t>
      </w:r>
      <w:r w:rsidRPr="00C66BA7">
        <w:rPr>
          <w:rFonts w:ascii="Times New Roman" w:hAnsi="Times New Roman"/>
          <w:i/>
          <w:iCs/>
        </w:rPr>
        <w:t>p</w:t>
      </w:r>
      <w:r>
        <w:rPr>
          <w:rFonts w:ascii="Times New Roman" w:hAnsi="Times New Roman"/>
        </w:rPr>
        <w:t>= .87)</w:t>
      </w:r>
      <w:r w:rsidRPr="002208A3">
        <w:rPr>
          <w:rFonts w:ascii="Times New Roman" w:hAnsi="Times New Roman"/>
        </w:rPr>
        <w:t xml:space="preserve">. </w:t>
      </w:r>
    </w:p>
    <w:p w14:paraId="27C63AA7" w14:textId="55FEF9E1" w:rsidR="00163CD2" w:rsidRPr="00163CD2" w:rsidRDefault="00163CD2" w:rsidP="00163CD2">
      <w:pPr>
        <w:spacing w:line="480" w:lineRule="auto"/>
        <w:rPr>
          <w:rFonts w:ascii="Times New Roman" w:hAnsi="Times New Roman"/>
          <w:i/>
          <w:iCs/>
        </w:rPr>
      </w:pPr>
      <w:r w:rsidRPr="00163CD2">
        <w:rPr>
          <w:rFonts w:ascii="Times New Roman" w:hAnsi="Times New Roman"/>
          <w:i/>
          <w:iCs/>
        </w:rPr>
        <w:t xml:space="preserve">Figure 6. Proportion of safe choices in Study 6 as a function of whether choices were repeated, binding precommitted, or non-binding precommitted. Error bars show +/- </w:t>
      </w:r>
      <w:r w:rsidR="0070024C">
        <w:rPr>
          <w:rFonts w:ascii="Times New Roman" w:hAnsi="Times New Roman"/>
          <w:i/>
          <w:iCs/>
        </w:rPr>
        <w:t>one standard error</w:t>
      </w:r>
      <w:r w:rsidRPr="00163CD2">
        <w:rPr>
          <w:rFonts w:ascii="Times New Roman" w:hAnsi="Times New Roman"/>
          <w:i/>
          <w:iCs/>
        </w:rPr>
        <w:t>.</w:t>
      </w:r>
    </w:p>
    <w:p w14:paraId="3B7880F9" w14:textId="77777777" w:rsidR="007F39CB" w:rsidRPr="002208A3" w:rsidRDefault="007F39CB" w:rsidP="007F39CB">
      <w:pPr>
        <w:spacing w:line="480" w:lineRule="auto"/>
        <w:jc w:val="center"/>
        <w:rPr>
          <w:rFonts w:ascii="Times New Roman" w:hAnsi="Times New Roman"/>
        </w:rPr>
      </w:pPr>
      <w:r>
        <w:rPr>
          <w:noProof/>
        </w:rPr>
        <w:lastRenderedPageBreak/>
        <w:drawing>
          <wp:inline distT="0" distB="0" distL="0" distR="0" wp14:anchorId="083F6FEA" wp14:editId="6ABE3575">
            <wp:extent cx="5398936" cy="3514477"/>
            <wp:effectExtent l="0" t="0" r="11430" b="10160"/>
            <wp:docPr id="10" name="Chart 10">
              <a:extLst xmlns:a="http://schemas.openxmlformats.org/drawingml/2006/main">
                <a:ext uri="{FF2B5EF4-FFF2-40B4-BE49-F238E27FC236}">
                  <a16:creationId xmlns:a16="http://schemas.microsoft.com/office/drawing/2014/main" id="{0E1282BF-2886-4949-BDC9-C1B636E79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F895FE" w14:textId="07A7DF3A" w:rsidR="007F39CB" w:rsidRDefault="00FB1D4A" w:rsidP="007F39CB">
      <w:pPr>
        <w:spacing w:line="480" w:lineRule="auto"/>
        <w:rPr>
          <w:rFonts w:ascii="Times New Roman" w:hAnsi="Times New Roman"/>
          <w:i/>
        </w:rPr>
      </w:pPr>
      <w:r>
        <w:rPr>
          <w:rFonts w:ascii="Times New Roman" w:hAnsi="Times New Roman"/>
          <w:i/>
        </w:rPr>
        <w:t>Study 6: Discussion</w:t>
      </w:r>
    </w:p>
    <w:p w14:paraId="4E2B78EE" w14:textId="3098F943" w:rsidR="00FB1D4A" w:rsidRDefault="00FB1D4A" w:rsidP="007F39CB">
      <w:pPr>
        <w:spacing w:line="480" w:lineRule="auto"/>
        <w:rPr>
          <w:rFonts w:ascii="Times New Roman" w:hAnsi="Times New Roman"/>
          <w:iCs/>
        </w:rPr>
      </w:pPr>
      <w:r>
        <w:rPr>
          <w:rFonts w:ascii="Times New Roman" w:hAnsi="Times New Roman"/>
          <w:iCs/>
        </w:rPr>
        <w:tab/>
        <w:t xml:space="preserve">As in previous studies of interdependent security </w:t>
      </w:r>
      <w:r>
        <w:rPr>
          <w:rFonts w:ascii="Times New Roman" w:hAnsi="Times New Roman"/>
          <w:iCs/>
        </w:rPr>
        <w:fldChar w:fldCharType="begin"/>
      </w:r>
      <w:r>
        <w:rPr>
          <w:rFonts w:ascii="Times New Roman" w:hAnsi="Times New Roman"/>
          <w:iCs/>
        </w:rPr>
        <w:instrText xml:space="preserve"> ADDIN EN.CITE &lt;EndNote&gt;&lt;Cite&gt;&lt;Author&gt;Gong&lt;/Author&gt;&lt;Year&gt;2009&lt;/Year&gt;&lt;IDText&gt;Group cooperation under uncertainty&lt;/IDText&gt;&lt;DisplayText&gt;(Gong et al., 2009)&lt;/DisplayText&gt;&lt;record&gt;&lt;titles&gt;&lt;title&gt;Group cooperation under uncertainty&lt;/title&gt;&lt;secondary-title&gt;Journal of Risk &amp;amp; Uncertainty&lt;/secondary-title&gt;&lt;short-title&gt;Group cooperation under uncertainty&lt;/short-title&gt;&lt;/titles&gt;&lt;pages&gt;251-270&lt;/pages&gt;&lt;contributors&gt;&lt;authors&gt;&lt;author&gt;Gong, Min&lt;/author&gt;&lt;author&gt;Baron, Jonathan&lt;/author&gt;&lt;author&gt;Kunreuther, Howard C.&lt;/author&gt;&lt;/authors&gt;&lt;/contributors&gt;&lt;added-date format="utc"&gt;1531537189&lt;/added-date&gt;&lt;ref-type name="Journal Article"&gt;17&lt;/ref-type&gt;&lt;dates&gt;&lt;year&gt;2009&lt;/year&gt;&lt;/dates&gt;&lt;rec-number&gt;204&lt;/rec-number&gt;&lt;last-updated-date format="utc"&gt;1531537189&lt;/last-updated-date&gt;&lt;electronic-resource-num&gt;10.1007/s11166-009-9080-2&lt;/electronic-resource-num&gt;&lt;volume&gt;39&lt;/volume&gt;&lt;/record&gt;&lt;/Cite&gt;&lt;/EndNote&gt;</w:instrText>
      </w:r>
      <w:r>
        <w:rPr>
          <w:rFonts w:ascii="Times New Roman" w:hAnsi="Times New Roman"/>
          <w:iCs/>
        </w:rPr>
        <w:fldChar w:fldCharType="separate"/>
      </w:r>
      <w:r>
        <w:rPr>
          <w:rFonts w:ascii="Times New Roman" w:hAnsi="Times New Roman"/>
          <w:iCs/>
          <w:noProof/>
        </w:rPr>
        <w:t>(Gong et al., 2009)</w:t>
      </w:r>
      <w:r>
        <w:rPr>
          <w:rFonts w:ascii="Times New Roman" w:hAnsi="Times New Roman"/>
          <w:iCs/>
        </w:rPr>
        <w:fldChar w:fldCharType="end"/>
      </w:r>
      <w:r>
        <w:rPr>
          <w:rFonts w:ascii="Times New Roman" w:hAnsi="Times New Roman"/>
          <w:iCs/>
        </w:rPr>
        <w:t xml:space="preserve">, the overall proportion of cooperation in safety behavior was low, around 30-35%. Binding precommitment increased the proportion of safe cooperation, but non-binding pre-commitment had basically no effect (supporting H4). </w:t>
      </w:r>
      <w:r w:rsidR="006767DE">
        <w:rPr>
          <w:rFonts w:ascii="Times New Roman" w:hAnsi="Times New Roman"/>
          <w:iCs/>
        </w:rPr>
        <w:t xml:space="preserve">The reason for the difference between binding and non-binding precommitment in this study is unclear, but certainly relates to the dynamics of playing with a counterpart. One possibility is that cooperation in safety is fragile in this situation, and if one person sees that the other is not paying for safety, then they are not likely to pay for safety either. This dynamic can only emerge in non-binding </w:t>
      </w:r>
      <w:proofErr w:type="gramStart"/>
      <w:r w:rsidR="006767DE">
        <w:rPr>
          <w:rFonts w:ascii="Times New Roman" w:hAnsi="Times New Roman"/>
          <w:iCs/>
        </w:rPr>
        <w:t>precommitment;  in</w:t>
      </w:r>
      <w:proofErr w:type="gramEnd"/>
      <w:r w:rsidR="006767DE">
        <w:rPr>
          <w:rFonts w:ascii="Times New Roman" w:hAnsi="Times New Roman"/>
          <w:iCs/>
        </w:rPr>
        <w:t xml:space="preserve"> binding precommitment there is not opportunity to react to one’s counterpart, until the next block of choices, when one is randomly paired with a (potentially new) counterpart again. </w:t>
      </w:r>
      <w:r w:rsidR="001D739A">
        <w:rPr>
          <w:rFonts w:ascii="Times New Roman" w:hAnsi="Times New Roman"/>
          <w:iCs/>
        </w:rPr>
        <w:t xml:space="preserve">An empirical investigation of the process driving the </w:t>
      </w:r>
      <w:r w:rsidR="001D739A">
        <w:rPr>
          <w:rFonts w:ascii="Times New Roman" w:hAnsi="Times New Roman"/>
          <w:iCs/>
        </w:rPr>
        <w:lastRenderedPageBreak/>
        <w:t xml:space="preserve">difference vs non-binding precommitment in social dilemmas remains a topic for future research. </w:t>
      </w:r>
    </w:p>
    <w:p w14:paraId="779F5069" w14:textId="13CF0FE1" w:rsidR="006C1ED6" w:rsidRPr="00C17D13" w:rsidRDefault="00C17D13" w:rsidP="00C17D13">
      <w:pPr>
        <w:spacing w:line="480" w:lineRule="auto"/>
        <w:jc w:val="center"/>
        <w:rPr>
          <w:rFonts w:ascii="Times New Roman" w:hAnsi="Times New Roman"/>
          <w:i/>
          <w:iCs/>
        </w:rPr>
      </w:pPr>
      <w:r w:rsidRPr="00C17D13">
        <w:rPr>
          <w:rFonts w:ascii="Times New Roman" w:hAnsi="Times New Roman"/>
          <w:i/>
          <w:iCs/>
        </w:rPr>
        <w:t>Additional Studies</w:t>
      </w:r>
    </w:p>
    <w:p w14:paraId="316D11E6" w14:textId="3EC736B1" w:rsidR="00ED7CB5" w:rsidRDefault="00103C25" w:rsidP="007F39CB">
      <w:pPr>
        <w:spacing w:line="480" w:lineRule="auto"/>
        <w:rPr>
          <w:rFonts w:ascii="Times New Roman" w:hAnsi="Times New Roman"/>
          <w:iCs/>
        </w:rPr>
      </w:pPr>
      <w:r>
        <w:rPr>
          <w:rFonts w:ascii="Times New Roman" w:hAnsi="Times New Roman"/>
          <w:iCs/>
        </w:rPr>
        <w:tab/>
        <w:t>We conducted three supplemental studies, S1-S3, reported in the online supplement</w:t>
      </w:r>
      <w:r w:rsidR="001D77FB">
        <w:rPr>
          <w:rFonts w:ascii="Times New Roman" w:hAnsi="Times New Roman"/>
          <w:iCs/>
        </w:rPr>
        <w:t>, which we briefly summarize here</w:t>
      </w:r>
      <w:r>
        <w:rPr>
          <w:rFonts w:ascii="Times New Roman" w:hAnsi="Times New Roman"/>
          <w:iCs/>
        </w:rPr>
        <w:t xml:space="preserve">. </w:t>
      </w:r>
      <w:r w:rsidR="001D77FB">
        <w:rPr>
          <w:rFonts w:ascii="Times New Roman" w:hAnsi="Times New Roman"/>
          <w:iCs/>
        </w:rPr>
        <w:t xml:space="preserve">In Study S1, we systematically varied the display of choices to “aggregated”, all on one page, or “segregated” across multiple pages, and crossed that with precommitment. Thus, a person might precommit their choices with each choice on a separate page, or do repeated choice with all choices shown on a single page. The display of choices in aggregated vs segregated format made </w:t>
      </w:r>
      <w:proofErr w:type="spellStart"/>
      <w:r w:rsidR="001D77FB">
        <w:rPr>
          <w:rFonts w:ascii="Times New Roman" w:hAnsi="Times New Roman"/>
          <w:iCs/>
        </w:rPr>
        <w:t>not</w:t>
      </w:r>
      <w:proofErr w:type="spellEnd"/>
      <w:r w:rsidR="001D77FB">
        <w:rPr>
          <w:rFonts w:ascii="Times New Roman" w:hAnsi="Times New Roman"/>
          <w:iCs/>
        </w:rPr>
        <w:t xml:space="preserve"> difference, and did not change the effect of precommitment, thus ruling out a potential confound. Study S1 also examined gain outcomes versus loss outcomes, with somewhat ambiguous results</w:t>
      </w:r>
      <w:r w:rsidR="00271AC2">
        <w:rPr>
          <w:rFonts w:ascii="Times New Roman" w:hAnsi="Times New Roman"/>
          <w:iCs/>
        </w:rPr>
        <w:t xml:space="preserve"> in the gain domain. </w:t>
      </w:r>
    </w:p>
    <w:p w14:paraId="7B89F452" w14:textId="1B69264B" w:rsidR="00CD5781" w:rsidRDefault="00CD5781" w:rsidP="007F39CB">
      <w:pPr>
        <w:spacing w:line="480" w:lineRule="auto"/>
        <w:rPr>
          <w:rFonts w:ascii="Times New Roman" w:hAnsi="Times New Roman"/>
          <w:iCs/>
        </w:rPr>
      </w:pPr>
      <w:r>
        <w:rPr>
          <w:rFonts w:ascii="Times New Roman" w:hAnsi="Times New Roman"/>
          <w:iCs/>
        </w:rPr>
        <w:tab/>
        <w:t xml:space="preserve">In Study S2, we examined different probability levels for the big loss (4%, 20%, or 50%), while holding expected value constant. This showed that when the risk of loss was high (50%), most participants preferred the safe option even in the repeated condition, and precommitment had little effect. </w:t>
      </w:r>
      <w:r w:rsidR="00C92C6B">
        <w:rPr>
          <w:rFonts w:ascii="Times New Roman" w:hAnsi="Times New Roman"/>
          <w:iCs/>
        </w:rPr>
        <w:t xml:space="preserve">This demonstrates a boundary condition; when the safe option is already attractive in one-off repeated choices, precommitment does not change or further enhance the preference for safety. </w:t>
      </w:r>
    </w:p>
    <w:p w14:paraId="2BEECB76" w14:textId="37FEB091" w:rsidR="0084531C" w:rsidRDefault="0084531C" w:rsidP="007F39CB">
      <w:pPr>
        <w:spacing w:line="480" w:lineRule="auto"/>
        <w:rPr>
          <w:rFonts w:ascii="Times New Roman" w:hAnsi="Times New Roman"/>
          <w:iCs/>
        </w:rPr>
      </w:pPr>
      <w:r>
        <w:rPr>
          <w:rFonts w:ascii="Times New Roman" w:hAnsi="Times New Roman"/>
          <w:iCs/>
        </w:rPr>
        <w:tab/>
        <w:t xml:space="preserve">In Study S3, we “manipulated the mediator” of the precommitment effect. </w:t>
      </w:r>
      <w:r w:rsidR="000F2C02">
        <w:rPr>
          <w:rFonts w:ascii="Times New Roman" w:hAnsi="Times New Roman"/>
          <w:iCs/>
        </w:rPr>
        <w:t>P</w:t>
      </w:r>
      <w:r>
        <w:rPr>
          <w:rFonts w:ascii="Times New Roman" w:hAnsi="Times New Roman"/>
          <w:iCs/>
        </w:rPr>
        <w:t xml:space="preserve">articipants </w:t>
      </w:r>
      <w:r w:rsidR="000F2C02">
        <w:rPr>
          <w:rFonts w:ascii="Times New Roman" w:hAnsi="Times New Roman"/>
          <w:iCs/>
        </w:rPr>
        <w:t xml:space="preserve">in the “planning” conditions </w:t>
      </w:r>
      <w:r>
        <w:rPr>
          <w:rFonts w:ascii="Times New Roman" w:hAnsi="Times New Roman"/>
          <w:iCs/>
        </w:rPr>
        <w:t xml:space="preserve">were given instructions at the beginning to </w:t>
      </w:r>
      <w:r w:rsidR="000F2C02">
        <w:rPr>
          <w:rFonts w:ascii="Times New Roman" w:hAnsi="Times New Roman"/>
          <w:iCs/>
        </w:rPr>
        <w:t xml:space="preserve">think about all 20 rounds, what strategy would serve them best, and how many rounds they think they should invest. </w:t>
      </w:r>
      <w:r w:rsidR="00C80C58">
        <w:rPr>
          <w:rFonts w:ascii="Times New Roman" w:hAnsi="Times New Roman"/>
          <w:iCs/>
        </w:rPr>
        <w:t xml:space="preserve">This “planning” intervention increased safe choices in the repeated condition, but had no effect in the precommitted condition. </w:t>
      </w:r>
      <w:r w:rsidR="00632B7D">
        <w:rPr>
          <w:rFonts w:ascii="Times New Roman" w:hAnsi="Times New Roman"/>
          <w:iCs/>
        </w:rPr>
        <w:t xml:space="preserve">Study S3 also </w:t>
      </w:r>
      <w:r w:rsidR="00632B7D">
        <w:rPr>
          <w:rFonts w:ascii="Times New Roman" w:hAnsi="Times New Roman"/>
          <w:iCs/>
        </w:rPr>
        <w:lastRenderedPageBreak/>
        <w:t xml:space="preserve">examined the </w:t>
      </w:r>
      <w:r w:rsidR="00686A0F">
        <w:rPr>
          <w:rFonts w:ascii="Times New Roman" w:hAnsi="Times New Roman"/>
          <w:iCs/>
        </w:rPr>
        <w:t>situation</w:t>
      </w:r>
      <w:r w:rsidR="00632B7D">
        <w:rPr>
          <w:rFonts w:ascii="Times New Roman" w:hAnsi="Times New Roman"/>
          <w:iCs/>
        </w:rPr>
        <w:t xml:space="preserve"> where the risky loss ha</w:t>
      </w:r>
      <w:r w:rsidR="00686A0F">
        <w:rPr>
          <w:rFonts w:ascii="Times New Roman" w:hAnsi="Times New Roman"/>
          <w:iCs/>
        </w:rPr>
        <w:t>s</w:t>
      </w:r>
      <w:r w:rsidR="00632B7D">
        <w:rPr>
          <w:rFonts w:ascii="Times New Roman" w:hAnsi="Times New Roman"/>
          <w:iCs/>
        </w:rPr>
        <w:t xml:space="preserve"> superior expected value, finding that precommitment still increased safe choices but was reduced, and that the effect of the “planning” intervention was reduced. </w:t>
      </w:r>
    </w:p>
    <w:p w14:paraId="40C88BA2" w14:textId="77777777" w:rsidR="000306B7" w:rsidRDefault="000306B7" w:rsidP="007F39CB">
      <w:pPr>
        <w:spacing w:line="480" w:lineRule="auto"/>
        <w:rPr>
          <w:rFonts w:ascii="Times New Roman" w:hAnsi="Times New Roman"/>
          <w:iCs/>
        </w:rPr>
      </w:pPr>
    </w:p>
    <w:p w14:paraId="45673E3D" w14:textId="36A9F16A" w:rsidR="00614EAB" w:rsidRPr="000306B7" w:rsidRDefault="00187F27" w:rsidP="00187F27">
      <w:pPr>
        <w:spacing w:line="480" w:lineRule="auto"/>
        <w:jc w:val="center"/>
        <w:rPr>
          <w:rFonts w:ascii="Times New Roman" w:hAnsi="Times New Roman"/>
          <w:i/>
        </w:rPr>
      </w:pPr>
      <w:r w:rsidRPr="000306B7">
        <w:rPr>
          <w:rFonts w:ascii="Times New Roman" w:hAnsi="Times New Roman"/>
          <w:i/>
        </w:rPr>
        <w:t xml:space="preserve">Additional </w:t>
      </w:r>
      <w:r w:rsidR="00D70C29">
        <w:rPr>
          <w:rFonts w:ascii="Times New Roman" w:hAnsi="Times New Roman"/>
          <w:i/>
        </w:rPr>
        <w:t xml:space="preserve">Results &amp; </w:t>
      </w:r>
      <w:r w:rsidRPr="000306B7">
        <w:rPr>
          <w:rFonts w:ascii="Times New Roman" w:hAnsi="Times New Roman"/>
          <w:i/>
        </w:rPr>
        <w:t>Analyses</w:t>
      </w:r>
    </w:p>
    <w:p w14:paraId="699781EE" w14:textId="6200DD73" w:rsidR="00187F27" w:rsidRDefault="00497269" w:rsidP="000306B7">
      <w:pPr>
        <w:spacing w:line="480" w:lineRule="auto"/>
        <w:rPr>
          <w:rFonts w:ascii="Times New Roman" w:hAnsi="Times New Roman"/>
          <w:iCs/>
        </w:rPr>
      </w:pPr>
      <w:r>
        <w:rPr>
          <w:rFonts w:ascii="Times New Roman" w:hAnsi="Times New Roman"/>
          <w:iCs/>
        </w:rPr>
        <w:tab/>
        <w:t xml:space="preserve">There are two sets of </w:t>
      </w:r>
      <w:r w:rsidR="00DF6A34">
        <w:rPr>
          <w:rFonts w:ascii="Times New Roman" w:hAnsi="Times New Roman"/>
          <w:iCs/>
        </w:rPr>
        <w:t xml:space="preserve">results </w:t>
      </w:r>
      <w:r w:rsidR="0056754F">
        <w:rPr>
          <w:rFonts w:ascii="Times New Roman" w:hAnsi="Times New Roman"/>
          <w:iCs/>
        </w:rPr>
        <w:t>and</w:t>
      </w:r>
      <w:r w:rsidR="00DF6A34">
        <w:rPr>
          <w:rFonts w:ascii="Times New Roman" w:hAnsi="Times New Roman"/>
          <w:iCs/>
        </w:rPr>
        <w:t xml:space="preserve"> </w:t>
      </w:r>
      <w:r>
        <w:rPr>
          <w:rFonts w:ascii="Times New Roman" w:hAnsi="Times New Roman"/>
          <w:iCs/>
        </w:rPr>
        <w:t>analyses that are easier to interpret when presented together (looking at all nine studies in the same table) rather than presented separately across studies</w:t>
      </w:r>
      <w:r w:rsidR="0056754F">
        <w:rPr>
          <w:rFonts w:ascii="Times New Roman" w:hAnsi="Times New Roman"/>
          <w:iCs/>
        </w:rPr>
        <w:t xml:space="preserve">: </w:t>
      </w:r>
      <w:r w:rsidR="00A55B04">
        <w:rPr>
          <w:rFonts w:ascii="Times New Roman" w:hAnsi="Times New Roman"/>
          <w:iCs/>
        </w:rPr>
        <w:t>block</w:t>
      </w:r>
      <w:r w:rsidR="0056754F">
        <w:rPr>
          <w:rFonts w:ascii="Times New Roman" w:hAnsi="Times New Roman"/>
          <w:iCs/>
        </w:rPr>
        <w:t xml:space="preserve"> effects, and differences from chance. </w:t>
      </w:r>
    </w:p>
    <w:p w14:paraId="3522030E" w14:textId="776E9C2C" w:rsidR="0056754F" w:rsidRDefault="0056754F" w:rsidP="000306B7">
      <w:pPr>
        <w:spacing w:line="480" w:lineRule="auto"/>
        <w:rPr>
          <w:rFonts w:ascii="Times New Roman" w:hAnsi="Times New Roman"/>
          <w:iCs/>
        </w:rPr>
      </w:pPr>
      <w:r>
        <w:rPr>
          <w:rFonts w:ascii="Times New Roman" w:hAnsi="Times New Roman"/>
          <w:iCs/>
        </w:rPr>
        <w:tab/>
      </w:r>
      <w:r w:rsidR="00A55B04">
        <w:rPr>
          <w:rFonts w:ascii="Times New Roman" w:hAnsi="Times New Roman"/>
          <w:iCs/>
        </w:rPr>
        <w:t xml:space="preserve">Across studies, we often saw an effect of block number, as shown in Table </w:t>
      </w:r>
      <w:r w:rsidR="00C40E99">
        <w:rPr>
          <w:rFonts w:ascii="Times New Roman" w:hAnsi="Times New Roman"/>
          <w:iCs/>
        </w:rPr>
        <w:t>6</w:t>
      </w:r>
      <w:r w:rsidR="00A55B04">
        <w:rPr>
          <w:rFonts w:ascii="Times New Roman" w:hAnsi="Times New Roman"/>
          <w:iCs/>
        </w:rPr>
        <w:t xml:space="preserve">. </w:t>
      </w:r>
      <w:r w:rsidR="000B39C8">
        <w:rPr>
          <w:rFonts w:ascii="Times New Roman" w:hAnsi="Times New Roman"/>
          <w:iCs/>
        </w:rPr>
        <w:t>These significant block effects</w:t>
      </w:r>
      <w:r w:rsidR="00A55B04">
        <w:rPr>
          <w:rFonts w:ascii="Times New Roman" w:hAnsi="Times New Roman"/>
          <w:iCs/>
        </w:rPr>
        <w:t xml:space="preserve"> indicate a gradual decrease in safe </w:t>
      </w:r>
      <w:r w:rsidR="000B39C8">
        <w:rPr>
          <w:rFonts w:ascii="Times New Roman" w:hAnsi="Times New Roman"/>
          <w:iCs/>
        </w:rPr>
        <w:t>choices</w:t>
      </w:r>
      <w:r w:rsidR="00A55B04">
        <w:rPr>
          <w:rFonts w:ascii="Times New Roman" w:hAnsi="Times New Roman"/>
          <w:iCs/>
        </w:rPr>
        <w:t xml:space="preserve"> over time</w:t>
      </w:r>
      <w:r w:rsidR="00BD7AAB">
        <w:rPr>
          <w:rFonts w:ascii="Times New Roman" w:hAnsi="Times New Roman"/>
          <w:iCs/>
        </w:rPr>
        <w:t xml:space="preserve">, across all conditions. </w:t>
      </w:r>
      <w:r w:rsidR="00C37971">
        <w:rPr>
          <w:rFonts w:ascii="Times New Roman" w:hAnsi="Times New Roman"/>
          <w:iCs/>
        </w:rPr>
        <w:t xml:space="preserve">This could be related to the “description” versus “experience” of risk </w:t>
      </w:r>
      <w:r w:rsidR="00C37971">
        <w:rPr>
          <w:rFonts w:ascii="Times New Roman" w:hAnsi="Times New Roman"/>
          <w:iCs/>
        </w:rPr>
        <w:fldChar w:fldCharType="begin"/>
      </w:r>
      <w:r w:rsidR="00C37971">
        <w:rPr>
          <w:rFonts w:ascii="Times New Roman" w:hAnsi="Times New Roman"/>
          <w:iCs/>
        </w:rPr>
        <w:instrText xml:space="preserve"> ADDIN EN.CITE &lt;EndNote&gt;&lt;Cite&gt;&lt;Author&gt;Hertwig&lt;/Author&gt;&lt;Year&gt;2009&lt;/Year&gt;&lt;IDText&gt;The description–experience gap in risky choice&lt;/IDText&gt;&lt;DisplayText&gt;(Hertwig &amp;amp; Erev, 2009)&lt;/DisplayText&gt;&lt;record&gt;&lt;isbn&gt;1364-6613&lt;/isbn&gt;&lt;titles&gt;&lt;title&gt;The description–experience gap in risky choice&lt;/title&gt;&lt;secondary-title&gt;Trends in cognitive sciences&lt;/secondary-title&gt;&lt;/titles&gt;&lt;pages&gt;517-523&lt;/pages&gt;&lt;number&gt;12&lt;/number&gt;&lt;contributors&gt;&lt;authors&gt;&lt;author&gt;Hertwig, Ralph&lt;/author&gt;&lt;author&gt;Erev, Ido&lt;/author&gt;&lt;/authors&gt;&lt;/contributors&gt;&lt;added-date format="utc"&gt;1597204683&lt;/added-date&gt;&lt;ref-type name="Journal Article"&gt;17&lt;/ref-type&gt;&lt;dates&gt;&lt;year&gt;2009&lt;/year&gt;&lt;/dates&gt;&lt;rec-number&gt;642&lt;/rec-number&gt;&lt;last-updated-date format="utc"&gt;1597204683&lt;/last-updated-date&gt;&lt;volume&gt;13&lt;/volume&gt;&lt;/record&gt;&lt;/Cite&gt;&lt;/EndNote&gt;</w:instrText>
      </w:r>
      <w:r w:rsidR="00C37971">
        <w:rPr>
          <w:rFonts w:ascii="Times New Roman" w:hAnsi="Times New Roman"/>
          <w:iCs/>
        </w:rPr>
        <w:fldChar w:fldCharType="separate"/>
      </w:r>
      <w:r w:rsidR="00C37971">
        <w:rPr>
          <w:rFonts w:ascii="Times New Roman" w:hAnsi="Times New Roman"/>
          <w:iCs/>
          <w:noProof/>
        </w:rPr>
        <w:t>(Hertwig &amp; Erev, 2009)</w:t>
      </w:r>
      <w:r w:rsidR="00C37971">
        <w:rPr>
          <w:rFonts w:ascii="Times New Roman" w:hAnsi="Times New Roman"/>
          <w:iCs/>
        </w:rPr>
        <w:fldChar w:fldCharType="end"/>
      </w:r>
      <w:r w:rsidR="00C37971">
        <w:rPr>
          <w:rFonts w:ascii="Times New Roman" w:hAnsi="Times New Roman"/>
          <w:iCs/>
        </w:rPr>
        <w:t xml:space="preserve">, wherein most people do not experience the big loss, most of the time, and so gradually lose their sensitivity to it. </w:t>
      </w:r>
    </w:p>
    <w:p w14:paraId="6F40830D" w14:textId="2B13F5A9" w:rsidR="003565F7" w:rsidRDefault="003565F7" w:rsidP="000306B7">
      <w:pPr>
        <w:spacing w:line="480" w:lineRule="auto"/>
        <w:rPr>
          <w:rFonts w:ascii="Times New Roman" w:hAnsi="Times New Roman"/>
          <w:iCs/>
        </w:rPr>
      </w:pPr>
      <w:r>
        <w:rPr>
          <w:rFonts w:ascii="Times New Roman" w:hAnsi="Times New Roman"/>
          <w:iCs/>
        </w:rPr>
        <w:tab/>
        <w:t xml:space="preserve">Also seen in Table </w:t>
      </w:r>
      <w:r w:rsidR="00C40E99">
        <w:rPr>
          <w:rFonts w:ascii="Times New Roman" w:hAnsi="Times New Roman"/>
          <w:iCs/>
        </w:rPr>
        <w:t>6</w:t>
      </w:r>
      <w:r>
        <w:rPr>
          <w:rFonts w:ascii="Times New Roman" w:hAnsi="Times New Roman"/>
          <w:iCs/>
        </w:rPr>
        <w:t xml:space="preserve">, there were two studies with a significant interaction of block number and the precommitment effect. Figures illustrating those interactions are already presented in those two studies (Study 5 and Study S2). As seen in those two figures, the effect of precommitment gets a bit weaker across the blocks. Again, this could be related to the “experience” of risk versus the description. However, this interaction effect is small, and is not reliable across studies; it is only seen in two of the nine studies. </w:t>
      </w:r>
    </w:p>
    <w:p w14:paraId="66B2773B" w14:textId="77777777" w:rsidR="003565F7" w:rsidRDefault="003565F7" w:rsidP="003565F7">
      <w:pPr>
        <w:spacing w:line="480" w:lineRule="auto"/>
        <w:rPr>
          <w:rFonts w:ascii="Times New Roman" w:hAnsi="Times New Roman"/>
          <w:iCs/>
        </w:rPr>
      </w:pPr>
      <w:r>
        <w:rPr>
          <w:rFonts w:ascii="Times New Roman" w:hAnsi="Times New Roman"/>
          <w:iCs/>
        </w:rPr>
        <w:tab/>
      </w:r>
    </w:p>
    <w:p w14:paraId="59F94B6A" w14:textId="77777777" w:rsidR="003565F7" w:rsidRDefault="003565F7">
      <w:pPr>
        <w:rPr>
          <w:rFonts w:ascii="Times New Roman" w:hAnsi="Times New Roman"/>
          <w:iCs/>
        </w:rPr>
      </w:pPr>
      <w:r>
        <w:rPr>
          <w:rFonts w:ascii="Times New Roman" w:hAnsi="Times New Roman"/>
          <w:iCs/>
        </w:rPr>
        <w:br w:type="page"/>
      </w:r>
    </w:p>
    <w:p w14:paraId="3B57329F" w14:textId="7799CA4A" w:rsidR="003565F7" w:rsidRDefault="003565F7" w:rsidP="003565F7">
      <w:pPr>
        <w:spacing w:line="480" w:lineRule="auto"/>
        <w:rPr>
          <w:rFonts w:ascii="Times New Roman" w:hAnsi="Times New Roman"/>
          <w:i/>
        </w:rPr>
      </w:pPr>
      <w:r>
        <w:rPr>
          <w:rFonts w:ascii="Times New Roman" w:hAnsi="Times New Roman"/>
          <w:i/>
        </w:rPr>
        <w:lastRenderedPageBreak/>
        <w:t xml:space="preserve">Table </w:t>
      </w:r>
      <w:r w:rsidR="00C40E99">
        <w:rPr>
          <w:rFonts w:ascii="Times New Roman" w:hAnsi="Times New Roman"/>
          <w:i/>
        </w:rPr>
        <w:t>6</w:t>
      </w:r>
      <w:r>
        <w:rPr>
          <w:rFonts w:ascii="Times New Roman" w:hAnsi="Times New Roman"/>
          <w:i/>
        </w:rPr>
        <w:t>. Block main effects and blocks by precommitment interaction effects, in all studies:</w:t>
      </w:r>
    </w:p>
    <w:tbl>
      <w:tblPr>
        <w:tblStyle w:val="PlainTable3"/>
        <w:tblW w:w="9145" w:type="dxa"/>
        <w:tblLook w:val="04A0" w:firstRow="1" w:lastRow="0" w:firstColumn="1" w:lastColumn="0" w:noHBand="0" w:noVBand="1"/>
      </w:tblPr>
      <w:tblGrid>
        <w:gridCol w:w="1030"/>
        <w:gridCol w:w="4591"/>
        <w:gridCol w:w="956"/>
        <w:gridCol w:w="1116"/>
        <w:gridCol w:w="1710"/>
      </w:tblGrid>
      <w:tr w:rsidR="003565F7" w:rsidRPr="003E13BC" w14:paraId="114154A8" w14:textId="77777777" w:rsidTr="00430316">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929" w:type="dxa"/>
            <w:noWrap/>
            <w:vAlign w:val="center"/>
            <w:hideMark/>
          </w:tcPr>
          <w:p w14:paraId="1B3DC52C" w14:textId="77777777" w:rsidR="003565F7" w:rsidRPr="003E13BC" w:rsidRDefault="003565F7" w:rsidP="00430316">
            <w:pPr>
              <w:rPr>
                <w:rFonts w:ascii="Times New Roman" w:hAnsi="Times New Roman"/>
              </w:rPr>
            </w:pPr>
          </w:p>
        </w:tc>
        <w:tc>
          <w:tcPr>
            <w:tcW w:w="4591" w:type="dxa"/>
            <w:noWrap/>
            <w:vAlign w:val="center"/>
            <w:hideMark/>
          </w:tcPr>
          <w:p w14:paraId="2BC1E06F" w14:textId="77777777" w:rsidR="003565F7" w:rsidRPr="003E13BC" w:rsidRDefault="003565F7" w:rsidP="00601D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956" w:type="dxa"/>
            <w:noWrap/>
            <w:vAlign w:val="center"/>
            <w:hideMark/>
          </w:tcPr>
          <w:p w14:paraId="47CBC5AF" w14:textId="77777777" w:rsidR="003565F7" w:rsidRPr="003E13BC" w:rsidRDefault="003565F7" w:rsidP="00601D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2669" w:type="dxa"/>
            <w:gridSpan w:val="2"/>
            <w:noWrap/>
            <w:vAlign w:val="center"/>
            <w:hideMark/>
          </w:tcPr>
          <w:p w14:paraId="6F6BAFBA" w14:textId="77777777" w:rsidR="003565F7" w:rsidRPr="003E13BC" w:rsidRDefault="003565F7" w:rsidP="00601D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F-values for linear contrasts</w:t>
            </w:r>
          </w:p>
        </w:tc>
      </w:tr>
      <w:tr w:rsidR="003565F7" w:rsidRPr="003E13BC" w14:paraId="732C6236" w14:textId="77777777" w:rsidTr="004303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12595BAB" w14:textId="77777777" w:rsidR="003565F7" w:rsidRPr="003E13BC" w:rsidRDefault="003565F7" w:rsidP="00601DE3">
            <w:pPr>
              <w:jc w:val="center"/>
              <w:rPr>
                <w:rFonts w:ascii="Times New Roman" w:hAnsi="Times New Roman"/>
              </w:rPr>
            </w:pPr>
            <w:r w:rsidRPr="003E13BC">
              <w:rPr>
                <w:rFonts w:ascii="Times New Roman" w:hAnsi="Times New Roman"/>
              </w:rPr>
              <w:t>Study No.</w:t>
            </w:r>
          </w:p>
        </w:tc>
        <w:tc>
          <w:tcPr>
            <w:tcW w:w="4591" w:type="dxa"/>
            <w:noWrap/>
            <w:vAlign w:val="center"/>
            <w:hideMark/>
          </w:tcPr>
          <w:p w14:paraId="091E702A"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Name</w:t>
            </w:r>
          </w:p>
        </w:tc>
        <w:tc>
          <w:tcPr>
            <w:tcW w:w="956" w:type="dxa"/>
            <w:noWrap/>
            <w:vAlign w:val="center"/>
            <w:hideMark/>
          </w:tcPr>
          <w:p w14:paraId="6FC1A1D8"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df</w:t>
            </w:r>
            <w:proofErr w:type="gramStart"/>
            <w:r w:rsidRPr="003E13BC">
              <w:rPr>
                <w:rFonts w:ascii="Times New Roman" w:hAnsi="Times New Roman"/>
              </w:rPr>
              <w:t>1,df</w:t>
            </w:r>
            <w:proofErr w:type="gramEnd"/>
            <w:r w:rsidRPr="003E13BC">
              <w:rPr>
                <w:rFonts w:ascii="Times New Roman" w:hAnsi="Times New Roman"/>
              </w:rPr>
              <w:t>2</w:t>
            </w:r>
          </w:p>
        </w:tc>
        <w:tc>
          <w:tcPr>
            <w:tcW w:w="1006" w:type="dxa"/>
            <w:noWrap/>
            <w:vAlign w:val="center"/>
            <w:hideMark/>
          </w:tcPr>
          <w:p w14:paraId="726ACA36"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Blocks</w:t>
            </w:r>
          </w:p>
        </w:tc>
        <w:tc>
          <w:tcPr>
            <w:tcW w:w="1662" w:type="dxa"/>
            <w:noWrap/>
            <w:vAlign w:val="center"/>
            <w:hideMark/>
          </w:tcPr>
          <w:p w14:paraId="05DC6571"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Blocks*</w:t>
            </w:r>
            <w:proofErr w:type="spellStart"/>
            <w:r w:rsidRPr="003E13BC">
              <w:rPr>
                <w:rFonts w:ascii="Times New Roman" w:hAnsi="Times New Roman"/>
              </w:rPr>
              <w:t>RepPre</w:t>
            </w:r>
            <w:proofErr w:type="spellEnd"/>
          </w:p>
        </w:tc>
      </w:tr>
      <w:tr w:rsidR="003565F7" w:rsidRPr="003E13BC" w14:paraId="314CAD71" w14:textId="77777777" w:rsidTr="00430316">
        <w:trPr>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08C09A5F" w14:textId="77777777" w:rsidR="003565F7" w:rsidRPr="003E13BC" w:rsidRDefault="003565F7" w:rsidP="00601DE3">
            <w:pPr>
              <w:jc w:val="center"/>
              <w:rPr>
                <w:rFonts w:ascii="Times New Roman" w:hAnsi="Times New Roman"/>
              </w:rPr>
            </w:pPr>
            <w:r w:rsidRPr="003E13BC">
              <w:rPr>
                <w:rFonts w:ascii="Times New Roman" w:hAnsi="Times New Roman"/>
              </w:rPr>
              <w:t>1</w:t>
            </w:r>
          </w:p>
        </w:tc>
        <w:tc>
          <w:tcPr>
            <w:tcW w:w="4591" w:type="dxa"/>
            <w:noWrap/>
            <w:vAlign w:val="center"/>
            <w:hideMark/>
          </w:tcPr>
          <w:p w14:paraId="5FEEDF97" w14:textId="77777777" w:rsidR="003565F7" w:rsidRPr="003E13BC" w:rsidRDefault="003565F7" w:rsidP="00601DE3">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Think-aloud protocol</w:t>
            </w:r>
          </w:p>
        </w:tc>
        <w:tc>
          <w:tcPr>
            <w:tcW w:w="956" w:type="dxa"/>
            <w:noWrap/>
            <w:vAlign w:val="center"/>
            <w:hideMark/>
          </w:tcPr>
          <w:p w14:paraId="6A047CB8"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(1,102)</w:t>
            </w:r>
          </w:p>
        </w:tc>
        <w:tc>
          <w:tcPr>
            <w:tcW w:w="1006" w:type="dxa"/>
            <w:noWrap/>
            <w:vAlign w:val="center"/>
            <w:hideMark/>
          </w:tcPr>
          <w:p w14:paraId="49318904"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0.47</w:t>
            </w:r>
          </w:p>
        </w:tc>
        <w:tc>
          <w:tcPr>
            <w:tcW w:w="1662" w:type="dxa"/>
            <w:noWrap/>
            <w:vAlign w:val="center"/>
            <w:hideMark/>
          </w:tcPr>
          <w:p w14:paraId="0C62470E"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0.85</w:t>
            </w:r>
          </w:p>
        </w:tc>
      </w:tr>
      <w:tr w:rsidR="003565F7" w:rsidRPr="003E13BC" w14:paraId="18EE0290" w14:textId="77777777" w:rsidTr="004303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65A69B38" w14:textId="77777777" w:rsidR="003565F7" w:rsidRPr="003E13BC" w:rsidRDefault="003565F7" w:rsidP="00601DE3">
            <w:pPr>
              <w:jc w:val="center"/>
              <w:rPr>
                <w:rFonts w:ascii="Times New Roman" w:hAnsi="Times New Roman"/>
              </w:rPr>
            </w:pPr>
            <w:r w:rsidRPr="003E13BC">
              <w:rPr>
                <w:rFonts w:ascii="Times New Roman" w:hAnsi="Times New Roman"/>
              </w:rPr>
              <w:t>2</w:t>
            </w:r>
          </w:p>
        </w:tc>
        <w:tc>
          <w:tcPr>
            <w:tcW w:w="4591" w:type="dxa"/>
            <w:noWrap/>
            <w:vAlign w:val="center"/>
            <w:hideMark/>
          </w:tcPr>
          <w:p w14:paraId="439DA503" w14:textId="77777777" w:rsidR="003565F7" w:rsidRPr="003E13BC" w:rsidRDefault="003565F7" w:rsidP="00601DE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Probability education</w:t>
            </w:r>
          </w:p>
        </w:tc>
        <w:tc>
          <w:tcPr>
            <w:tcW w:w="956" w:type="dxa"/>
            <w:noWrap/>
            <w:vAlign w:val="center"/>
            <w:hideMark/>
          </w:tcPr>
          <w:p w14:paraId="11D02CA0"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(1,278)</w:t>
            </w:r>
          </w:p>
        </w:tc>
        <w:tc>
          <w:tcPr>
            <w:tcW w:w="1006" w:type="dxa"/>
            <w:noWrap/>
            <w:vAlign w:val="center"/>
            <w:hideMark/>
          </w:tcPr>
          <w:p w14:paraId="7A4CA301"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8.99**</w:t>
            </w:r>
          </w:p>
        </w:tc>
        <w:tc>
          <w:tcPr>
            <w:tcW w:w="1662" w:type="dxa"/>
            <w:noWrap/>
            <w:vAlign w:val="center"/>
            <w:hideMark/>
          </w:tcPr>
          <w:p w14:paraId="691655FF"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0.31</w:t>
            </w:r>
          </w:p>
        </w:tc>
      </w:tr>
      <w:tr w:rsidR="003565F7" w:rsidRPr="003E13BC" w14:paraId="3D6C30A7" w14:textId="77777777" w:rsidTr="00430316">
        <w:trPr>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7DE50981" w14:textId="77777777" w:rsidR="003565F7" w:rsidRPr="003E13BC" w:rsidRDefault="003565F7" w:rsidP="00601DE3">
            <w:pPr>
              <w:jc w:val="center"/>
              <w:rPr>
                <w:rFonts w:ascii="Times New Roman" w:hAnsi="Times New Roman"/>
              </w:rPr>
            </w:pPr>
            <w:r w:rsidRPr="003E13BC">
              <w:rPr>
                <w:rFonts w:ascii="Times New Roman" w:hAnsi="Times New Roman"/>
              </w:rPr>
              <w:t>3</w:t>
            </w:r>
          </w:p>
        </w:tc>
        <w:tc>
          <w:tcPr>
            <w:tcW w:w="4591" w:type="dxa"/>
            <w:noWrap/>
            <w:vAlign w:val="center"/>
            <w:hideMark/>
          </w:tcPr>
          <w:p w14:paraId="56AA86BC" w14:textId="77777777" w:rsidR="003565F7" w:rsidRPr="003E13BC" w:rsidRDefault="003565F7" w:rsidP="00601DE3">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Varying the number of rounds</w:t>
            </w:r>
          </w:p>
        </w:tc>
        <w:tc>
          <w:tcPr>
            <w:tcW w:w="956" w:type="dxa"/>
            <w:noWrap/>
            <w:vAlign w:val="center"/>
            <w:hideMark/>
          </w:tcPr>
          <w:p w14:paraId="66FFB149"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(1,420)</w:t>
            </w:r>
          </w:p>
        </w:tc>
        <w:tc>
          <w:tcPr>
            <w:tcW w:w="1006" w:type="dxa"/>
            <w:noWrap/>
            <w:vAlign w:val="center"/>
            <w:hideMark/>
          </w:tcPr>
          <w:p w14:paraId="7A41394C"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40.79***</w:t>
            </w:r>
          </w:p>
        </w:tc>
        <w:tc>
          <w:tcPr>
            <w:tcW w:w="1662" w:type="dxa"/>
            <w:noWrap/>
            <w:vAlign w:val="center"/>
            <w:hideMark/>
          </w:tcPr>
          <w:p w14:paraId="33401B83"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1.43</w:t>
            </w:r>
          </w:p>
        </w:tc>
      </w:tr>
      <w:tr w:rsidR="003565F7" w:rsidRPr="003E13BC" w14:paraId="1DE2405B" w14:textId="77777777" w:rsidTr="004303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7A935C1E" w14:textId="77777777" w:rsidR="003565F7" w:rsidRPr="003E13BC" w:rsidRDefault="003565F7" w:rsidP="00601DE3">
            <w:pPr>
              <w:jc w:val="center"/>
              <w:rPr>
                <w:rFonts w:ascii="Times New Roman" w:hAnsi="Times New Roman"/>
              </w:rPr>
            </w:pPr>
            <w:r w:rsidRPr="003E13BC">
              <w:rPr>
                <w:rFonts w:ascii="Times New Roman" w:hAnsi="Times New Roman"/>
              </w:rPr>
              <w:t>4</w:t>
            </w:r>
          </w:p>
        </w:tc>
        <w:tc>
          <w:tcPr>
            <w:tcW w:w="4591" w:type="dxa"/>
            <w:noWrap/>
            <w:vAlign w:val="center"/>
            <w:hideMark/>
          </w:tcPr>
          <w:p w14:paraId="0241E8DB" w14:textId="77777777" w:rsidR="003565F7" w:rsidRPr="003E13BC" w:rsidRDefault="003565F7" w:rsidP="00601DE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Binding vs non-binding precommitment (Pre vs. Rep)</w:t>
            </w:r>
          </w:p>
        </w:tc>
        <w:tc>
          <w:tcPr>
            <w:tcW w:w="956" w:type="dxa"/>
            <w:noWrap/>
            <w:vAlign w:val="center"/>
            <w:hideMark/>
          </w:tcPr>
          <w:p w14:paraId="358EDA13"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(1,141)</w:t>
            </w:r>
          </w:p>
        </w:tc>
        <w:tc>
          <w:tcPr>
            <w:tcW w:w="1006" w:type="dxa"/>
            <w:noWrap/>
            <w:vAlign w:val="center"/>
            <w:hideMark/>
          </w:tcPr>
          <w:p w14:paraId="4450CD71"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8.32**</w:t>
            </w:r>
          </w:p>
        </w:tc>
        <w:tc>
          <w:tcPr>
            <w:tcW w:w="1662" w:type="dxa"/>
            <w:noWrap/>
            <w:vAlign w:val="center"/>
            <w:hideMark/>
          </w:tcPr>
          <w:p w14:paraId="6AE63DEB"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0.57</w:t>
            </w:r>
          </w:p>
        </w:tc>
      </w:tr>
      <w:tr w:rsidR="003565F7" w:rsidRPr="003E13BC" w14:paraId="61506717" w14:textId="77777777" w:rsidTr="00430316">
        <w:trPr>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0BCBB0C3" w14:textId="77777777" w:rsidR="003565F7" w:rsidRPr="003E13BC" w:rsidRDefault="003565F7" w:rsidP="00601DE3">
            <w:pPr>
              <w:jc w:val="center"/>
              <w:rPr>
                <w:rFonts w:ascii="Times New Roman" w:hAnsi="Times New Roman"/>
              </w:rPr>
            </w:pPr>
            <w:r w:rsidRPr="003E13BC">
              <w:rPr>
                <w:rFonts w:ascii="Times New Roman" w:hAnsi="Times New Roman"/>
              </w:rPr>
              <w:t>4</w:t>
            </w:r>
          </w:p>
        </w:tc>
        <w:tc>
          <w:tcPr>
            <w:tcW w:w="4591" w:type="dxa"/>
            <w:noWrap/>
            <w:vAlign w:val="center"/>
            <w:hideMark/>
          </w:tcPr>
          <w:p w14:paraId="2048EA2E" w14:textId="77777777" w:rsidR="003565F7" w:rsidRPr="003E13BC" w:rsidRDefault="003565F7" w:rsidP="00601DE3">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Binding vs non-binding precommitment (Non-Pre vs. Rep)</w:t>
            </w:r>
          </w:p>
        </w:tc>
        <w:tc>
          <w:tcPr>
            <w:tcW w:w="956" w:type="dxa"/>
            <w:noWrap/>
            <w:vAlign w:val="center"/>
            <w:hideMark/>
          </w:tcPr>
          <w:p w14:paraId="284CA92D"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(1,133)</w:t>
            </w:r>
          </w:p>
        </w:tc>
        <w:tc>
          <w:tcPr>
            <w:tcW w:w="1006" w:type="dxa"/>
            <w:noWrap/>
            <w:vAlign w:val="center"/>
            <w:hideMark/>
          </w:tcPr>
          <w:p w14:paraId="2002DB3F"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0.34</w:t>
            </w:r>
          </w:p>
        </w:tc>
        <w:tc>
          <w:tcPr>
            <w:tcW w:w="1662" w:type="dxa"/>
            <w:noWrap/>
            <w:vAlign w:val="center"/>
            <w:hideMark/>
          </w:tcPr>
          <w:p w14:paraId="28A1C6B2"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1.15</w:t>
            </w:r>
          </w:p>
        </w:tc>
      </w:tr>
      <w:tr w:rsidR="003565F7" w:rsidRPr="003E13BC" w14:paraId="3D204716" w14:textId="77777777" w:rsidTr="004303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648FC1AF" w14:textId="77777777" w:rsidR="003565F7" w:rsidRPr="003E13BC" w:rsidRDefault="003565F7" w:rsidP="00601DE3">
            <w:pPr>
              <w:jc w:val="center"/>
              <w:rPr>
                <w:rFonts w:ascii="Times New Roman" w:hAnsi="Times New Roman"/>
              </w:rPr>
            </w:pPr>
            <w:r w:rsidRPr="003E13BC">
              <w:rPr>
                <w:rFonts w:ascii="Times New Roman" w:hAnsi="Times New Roman"/>
              </w:rPr>
              <w:t>5</w:t>
            </w:r>
          </w:p>
        </w:tc>
        <w:tc>
          <w:tcPr>
            <w:tcW w:w="4591" w:type="dxa"/>
            <w:noWrap/>
            <w:vAlign w:val="center"/>
            <w:hideMark/>
          </w:tcPr>
          <w:p w14:paraId="7A0638BA" w14:textId="77777777" w:rsidR="003565F7" w:rsidRPr="003E13BC" w:rsidRDefault="003565F7" w:rsidP="00601DE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Process data and mediation</w:t>
            </w:r>
          </w:p>
        </w:tc>
        <w:tc>
          <w:tcPr>
            <w:tcW w:w="956" w:type="dxa"/>
            <w:noWrap/>
            <w:vAlign w:val="center"/>
            <w:hideMark/>
          </w:tcPr>
          <w:p w14:paraId="5BBB35D3"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(1,791)</w:t>
            </w:r>
          </w:p>
        </w:tc>
        <w:tc>
          <w:tcPr>
            <w:tcW w:w="1006" w:type="dxa"/>
            <w:noWrap/>
            <w:vAlign w:val="center"/>
            <w:hideMark/>
          </w:tcPr>
          <w:p w14:paraId="380CBC0A"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19.54***</w:t>
            </w:r>
          </w:p>
        </w:tc>
        <w:tc>
          <w:tcPr>
            <w:tcW w:w="1662" w:type="dxa"/>
            <w:noWrap/>
            <w:vAlign w:val="center"/>
            <w:hideMark/>
          </w:tcPr>
          <w:p w14:paraId="5B96A40C"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4.37*</w:t>
            </w:r>
          </w:p>
        </w:tc>
      </w:tr>
      <w:tr w:rsidR="003565F7" w:rsidRPr="003E13BC" w14:paraId="65B241CA" w14:textId="77777777" w:rsidTr="00430316">
        <w:trPr>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1A53F1F5" w14:textId="77777777" w:rsidR="003565F7" w:rsidRPr="003E13BC" w:rsidRDefault="003565F7" w:rsidP="00601DE3">
            <w:pPr>
              <w:jc w:val="center"/>
              <w:rPr>
                <w:rFonts w:ascii="Times New Roman" w:hAnsi="Times New Roman"/>
              </w:rPr>
            </w:pPr>
            <w:r w:rsidRPr="003E13BC">
              <w:rPr>
                <w:rFonts w:ascii="Times New Roman" w:hAnsi="Times New Roman"/>
              </w:rPr>
              <w:t>6</w:t>
            </w:r>
          </w:p>
        </w:tc>
        <w:tc>
          <w:tcPr>
            <w:tcW w:w="4591" w:type="dxa"/>
            <w:noWrap/>
            <w:vAlign w:val="center"/>
            <w:hideMark/>
          </w:tcPr>
          <w:p w14:paraId="21760B1D" w14:textId="77777777" w:rsidR="003565F7" w:rsidRPr="003E13BC" w:rsidRDefault="003565F7" w:rsidP="00601DE3">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Precommitment in Social dilemmas (Pre vs. Rep)</w:t>
            </w:r>
          </w:p>
        </w:tc>
        <w:tc>
          <w:tcPr>
            <w:tcW w:w="956" w:type="dxa"/>
            <w:noWrap/>
            <w:vAlign w:val="center"/>
            <w:hideMark/>
          </w:tcPr>
          <w:p w14:paraId="48951979"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(1,104)</w:t>
            </w:r>
          </w:p>
        </w:tc>
        <w:tc>
          <w:tcPr>
            <w:tcW w:w="1006" w:type="dxa"/>
            <w:noWrap/>
            <w:vAlign w:val="center"/>
            <w:hideMark/>
          </w:tcPr>
          <w:p w14:paraId="1AFF0ACE"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8.28**</w:t>
            </w:r>
          </w:p>
        </w:tc>
        <w:tc>
          <w:tcPr>
            <w:tcW w:w="1662" w:type="dxa"/>
            <w:noWrap/>
            <w:vAlign w:val="center"/>
            <w:hideMark/>
          </w:tcPr>
          <w:p w14:paraId="454E3E21"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0.56</w:t>
            </w:r>
          </w:p>
        </w:tc>
      </w:tr>
      <w:tr w:rsidR="003565F7" w:rsidRPr="003E13BC" w14:paraId="4AF5A154" w14:textId="77777777" w:rsidTr="004303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0292DF5E" w14:textId="77777777" w:rsidR="003565F7" w:rsidRPr="003E13BC" w:rsidRDefault="003565F7" w:rsidP="00601DE3">
            <w:pPr>
              <w:jc w:val="center"/>
              <w:rPr>
                <w:rFonts w:ascii="Times New Roman" w:hAnsi="Times New Roman"/>
              </w:rPr>
            </w:pPr>
            <w:r w:rsidRPr="003E13BC">
              <w:rPr>
                <w:rFonts w:ascii="Times New Roman" w:hAnsi="Times New Roman"/>
              </w:rPr>
              <w:t>6</w:t>
            </w:r>
          </w:p>
        </w:tc>
        <w:tc>
          <w:tcPr>
            <w:tcW w:w="4591" w:type="dxa"/>
            <w:noWrap/>
            <w:vAlign w:val="center"/>
            <w:hideMark/>
          </w:tcPr>
          <w:p w14:paraId="578FCBB9" w14:textId="77777777" w:rsidR="003565F7" w:rsidRPr="003E13BC" w:rsidRDefault="003565F7" w:rsidP="00601DE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Precommitment in Social dilemmas (Non-Pre vs. Rep)</w:t>
            </w:r>
          </w:p>
        </w:tc>
        <w:tc>
          <w:tcPr>
            <w:tcW w:w="956" w:type="dxa"/>
            <w:noWrap/>
            <w:vAlign w:val="center"/>
            <w:hideMark/>
          </w:tcPr>
          <w:p w14:paraId="4287695A"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(1,106)</w:t>
            </w:r>
          </w:p>
        </w:tc>
        <w:tc>
          <w:tcPr>
            <w:tcW w:w="1006" w:type="dxa"/>
            <w:noWrap/>
            <w:vAlign w:val="center"/>
            <w:hideMark/>
          </w:tcPr>
          <w:p w14:paraId="5FE176D0"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3.55†</w:t>
            </w:r>
          </w:p>
        </w:tc>
        <w:tc>
          <w:tcPr>
            <w:tcW w:w="1662" w:type="dxa"/>
            <w:noWrap/>
            <w:vAlign w:val="center"/>
            <w:hideMark/>
          </w:tcPr>
          <w:p w14:paraId="6797F096"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0.17</w:t>
            </w:r>
          </w:p>
        </w:tc>
      </w:tr>
      <w:tr w:rsidR="003565F7" w:rsidRPr="003E13BC" w14:paraId="05D98053" w14:textId="77777777" w:rsidTr="00430316">
        <w:trPr>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4C3AF080" w14:textId="77777777" w:rsidR="003565F7" w:rsidRPr="003E13BC" w:rsidRDefault="003565F7" w:rsidP="00601DE3">
            <w:pPr>
              <w:jc w:val="center"/>
              <w:rPr>
                <w:rFonts w:ascii="Times New Roman" w:hAnsi="Times New Roman"/>
              </w:rPr>
            </w:pPr>
            <w:r w:rsidRPr="003E13BC">
              <w:rPr>
                <w:rFonts w:ascii="Times New Roman" w:hAnsi="Times New Roman"/>
              </w:rPr>
              <w:t>S1</w:t>
            </w:r>
          </w:p>
        </w:tc>
        <w:tc>
          <w:tcPr>
            <w:tcW w:w="4591" w:type="dxa"/>
            <w:noWrap/>
            <w:vAlign w:val="center"/>
            <w:hideMark/>
          </w:tcPr>
          <w:p w14:paraId="0C29484D" w14:textId="77777777" w:rsidR="003565F7" w:rsidRPr="003E13BC" w:rsidRDefault="003565F7" w:rsidP="00601DE3">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Separated vs Aggregated Displays and Gains vs Losses</w:t>
            </w:r>
          </w:p>
        </w:tc>
        <w:tc>
          <w:tcPr>
            <w:tcW w:w="956" w:type="dxa"/>
            <w:noWrap/>
            <w:vAlign w:val="center"/>
            <w:hideMark/>
          </w:tcPr>
          <w:p w14:paraId="26C777BC"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(1,350)</w:t>
            </w:r>
          </w:p>
        </w:tc>
        <w:tc>
          <w:tcPr>
            <w:tcW w:w="1006" w:type="dxa"/>
            <w:noWrap/>
            <w:vAlign w:val="center"/>
            <w:hideMark/>
          </w:tcPr>
          <w:p w14:paraId="4D491EE5"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8.26**</w:t>
            </w:r>
          </w:p>
        </w:tc>
        <w:tc>
          <w:tcPr>
            <w:tcW w:w="1662" w:type="dxa"/>
            <w:noWrap/>
            <w:vAlign w:val="center"/>
            <w:hideMark/>
          </w:tcPr>
          <w:p w14:paraId="0933087E"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0.77</w:t>
            </w:r>
          </w:p>
        </w:tc>
      </w:tr>
      <w:tr w:rsidR="003565F7" w:rsidRPr="003E13BC" w14:paraId="3C6709D4" w14:textId="77777777" w:rsidTr="004303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041CACA0" w14:textId="77777777" w:rsidR="003565F7" w:rsidRPr="003E13BC" w:rsidRDefault="003565F7" w:rsidP="00601DE3">
            <w:pPr>
              <w:jc w:val="center"/>
              <w:rPr>
                <w:rFonts w:ascii="Times New Roman" w:hAnsi="Times New Roman"/>
              </w:rPr>
            </w:pPr>
            <w:r w:rsidRPr="003E13BC">
              <w:rPr>
                <w:rFonts w:ascii="Times New Roman" w:hAnsi="Times New Roman"/>
              </w:rPr>
              <w:t>S2</w:t>
            </w:r>
          </w:p>
        </w:tc>
        <w:tc>
          <w:tcPr>
            <w:tcW w:w="4591" w:type="dxa"/>
            <w:noWrap/>
            <w:vAlign w:val="center"/>
            <w:hideMark/>
          </w:tcPr>
          <w:p w14:paraId="5B1719A4" w14:textId="77777777" w:rsidR="003565F7" w:rsidRPr="003E13BC" w:rsidRDefault="003565F7" w:rsidP="00601DE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Probability levels</w:t>
            </w:r>
          </w:p>
        </w:tc>
        <w:tc>
          <w:tcPr>
            <w:tcW w:w="956" w:type="dxa"/>
            <w:noWrap/>
            <w:vAlign w:val="center"/>
            <w:hideMark/>
          </w:tcPr>
          <w:p w14:paraId="203F862A"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(1,413)</w:t>
            </w:r>
          </w:p>
        </w:tc>
        <w:tc>
          <w:tcPr>
            <w:tcW w:w="1006" w:type="dxa"/>
            <w:noWrap/>
            <w:vAlign w:val="center"/>
            <w:hideMark/>
          </w:tcPr>
          <w:p w14:paraId="400ACE14"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1.89</w:t>
            </w:r>
          </w:p>
        </w:tc>
        <w:tc>
          <w:tcPr>
            <w:tcW w:w="1662" w:type="dxa"/>
            <w:noWrap/>
            <w:vAlign w:val="center"/>
            <w:hideMark/>
          </w:tcPr>
          <w:p w14:paraId="7990A06A" w14:textId="77777777" w:rsidR="003565F7" w:rsidRPr="003E13BC" w:rsidRDefault="003565F7" w:rsidP="00601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3.93*</w:t>
            </w:r>
          </w:p>
        </w:tc>
      </w:tr>
      <w:tr w:rsidR="003565F7" w:rsidRPr="003E13BC" w14:paraId="72240081" w14:textId="77777777" w:rsidTr="00430316">
        <w:trPr>
          <w:trHeight w:val="299"/>
        </w:trPr>
        <w:tc>
          <w:tcPr>
            <w:cnfStyle w:val="001000000000" w:firstRow="0" w:lastRow="0" w:firstColumn="1" w:lastColumn="0" w:oddVBand="0" w:evenVBand="0" w:oddHBand="0" w:evenHBand="0" w:firstRowFirstColumn="0" w:firstRowLastColumn="0" w:lastRowFirstColumn="0" w:lastRowLastColumn="0"/>
            <w:tcW w:w="929" w:type="dxa"/>
            <w:noWrap/>
            <w:vAlign w:val="center"/>
            <w:hideMark/>
          </w:tcPr>
          <w:p w14:paraId="57F0E5A7" w14:textId="77777777" w:rsidR="003565F7" w:rsidRPr="003E13BC" w:rsidRDefault="003565F7" w:rsidP="00601DE3">
            <w:pPr>
              <w:jc w:val="center"/>
              <w:rPr>
                <w:rFonts w:ascii="Times New Roman" w:hAnsi="Times New Roman"/>
              </w:rPr>
            </w:pPr>
            <w:r w:rsidRPr="003E13BC">
              <w:rPr>
                <w:rFonts w:ascii="Times New Roman" w:hAnsi="Times New Roman"/>
              </w:rPr>
              <w:t>S3</w:t>
            </w:r>
          </w:p>
        </w:tc>
        <w:tc>
          <w:tcPr>
            <w:tcW w:w="4591" w:type="dxa"/>
            <w:noWrap/>
            <w:vAlign w:val="center"/>
            <w:hideMark/>
          </w:tcPr>
          <w:p w14:paraId="4FA71720" w14:textId="77777777" w:rsidR="003565F7" w:rsidRPr="003E13BC" w:rsidRDefault="003565F7" w:rsidP="00601DE3">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Alternate manipulation of time horizon &amp; changing EV</w:t>
            </w:r>
          </w:p>
        </w:tc>
        <w:tc>
          <w:tcPr>
            <w:tcW w:w="956" w:type="dxa"/>
            <w:noWrap/>
            <w:vAlign w:val="center"/>
            <w:hideMark/>
          </w:tcPr>
          <w:p w14:paraId="582F1033"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(1,565)</w:t>
            </w:r>
          </w:p>
        </w:tc>
        <w:tc>
          <w:tcPr>
            <w:tcW w:w="1006" w:type="dxa"/>
            <w:noWrap/>
            <w:vAlign w:val="center"/>
            <w:hideMark/>
          </w:tcPr>
          <w:p w14:paraId="208D4BBF"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26.41***</w:t>
            </w:r>
          </w:p>
        </w:tc>
        <w:tc>
          <w:tcPr>
            <w:tcW w:w="1662" w:type="dxa"/>
            <w:noWrap/>
            <w:vAlign w:val="center"/>
            <w:hideMark/>
          </w:tcPr>
          <w:p w14:paraId="679FA258" w14:textId="77777777" w:rsidR="003565F7" w:rsidRPr="003E13BC" w:rsidRDefault="003565F7" w:rsidP="00601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1.06</w:t>
            </w:r>
          </w:p>
        </w:tc>
      </w:tr>
    </w:tbl>
    <w:p w14:paraId="6A343C56" w14:textId="77777777" w:rsidR="003565F7" w:rsidRDefault="003565F7" w:rsidP="003565F7">
      <w:pPr>
        <w:spacing w:line="480" w:lineRule="auto"/>
        <w:rPr>
          <w:rFonts w:ascii="Times New Roman" w:hAnsi="Times New Roman"/>
          <w:i/>
        </w:rPr>
      </w:pPr>
      <w:r>
        <w:rPr>
          <w:rFonts w:ascii="Times New Roman" w:hAnsi="Times New Roman"/>
          <w:i/>
        </w:rPr>
        <w:t xml:space="preserve">Note: </w:t>
      </w:r>
      <w:r>
        <w:rPr>
          <w:rFonts w:ascii="Calibri" w:hAnsi="Calibri" w:cs="Calibri"/>
          <w:i/>
        </w:rPr>
        <w:t>†</w:t>
      </w:r>
      <w:r>
        <w:rPr>
          <w:rFonts w:ascii="Times New Roman" w:hAnsi="Times New Roman"/>
          <w:i/>
        </w:rPr>
        <w:t>: &lt;.10, *: &lt;.05, **: &lt;.01, ***: &lt;.001</w:t>
      </w:r>
    </w:p>
    <w:p w14:paraId="187E9D1A" w14:textId="4B36CA52" w:rsidR="003565F7" w:rsidRDefault="003565F7" w:rsidP="003565F7">
      <w:pPr>
        <w:spacing w:line="480" w:lineRule="auto"/>
        <w:rPr>
          <w:rFonts w:ascii="Times New Roman" w:hAnsi="Times New Roman"/>
          <w:i/>
          <w:iCs/>
        </w:rPr>
      </w:pPr>
    </w:p>
    <w:p w14:paraId="0FFC7D50" w14:textId="297C7D27" w:rsidR="003565F7" w:rsidRPr="001A3D5C" w:rsidRDefault="003565F7" w:rsidP="00430316">
      <w:pPr>
        <w:spacing w:line="480" w:lineRule="auto"/>
        <w:rPr>
          <w:rFonts w:ascii="Times New Roman" w:hAnsi="Times New Roman"/>
        </w:rPr>
      </w:pPr>
      <w:r>
        <w:rPr>
          <w:rFonts w:ascii="Times New Roman" w:hAnsi="Times New Roman"/>
        </w:rPr>
        <w:t>Finally, we examine an alternative process account of the precommitment effect: that it drives the decision maker towards choosing safety 50% of the time. This could happen because precommitment presents an overwhelming number of choices, leading to difficulty, confusion, and random responding. Or it could happen because precommitment induces a preference for diversity in choices (</w:t>
      </w:r>
      <w:r w:rsidR="00B841F7">
        <w:rPr>
          <w:rFonts w:ascii="Times New Roman" w:hAnsi="Times New Roman"/>
        </w:rPr>
        <w:t>similar to the diversification bias seen in</w:t>
      </w:r>
      <w:r>
        <w:rPr>
          <w:rFonts w:ascii="Times New Roman" w:hAnsi="Times New Roman"/>
        </w:rPr>
        <w:t xml:space="preserve"> previous research on choice bracketing)</w:t>
      </w:r>
      <w:r w:rsidR="00B841F7">
        <w:rPr>
          <w:rFonts w:ascii="Times New Roman" w:hAnsi="Times New Roman"/>
        </w:rPr>
        <w:t xml:space="preserve">, which would lead towards 50% as well. </w:t>
      </w:r>
      <w:r w:rsidR="00240EC9">
        <w:rPr>
          <w:rFonts w:ascii="Times New Roman" w:hAnsi="Times New Roman"/>
        </w:rPr>
        <w:t xml:space="preserve">Indeed, looking at the data the baseline in the repeated condition is nearly always below 50%, and precommitment generally increases the proportion of safe choices, </w:t>
      </w:r>
      <w:r w:rsidR="00D30648">
        <w:rPr>
          <w:rFonts w:ascii="Times New Roman" w:hAnsi="Times New Roman"/>
        </w:rPr>
        <w:t xml:space="preserve">often </w:t>
      </w:r>
      <w:r w:rsidR="00240EC9">
        <w:rPr>
          <w:rFonts w:ascii="Times New Roman" w:hAnsi="Times New Roman"/>
        </w:rPr>
        <w:t>moving the proportion closer to .50.</w:t>
      </w:r>
      <w:r w:rsidR="00D30648">
        <w:rPr>
          <w:rFonts w:ascii="Times New Roman" w:hAnsi="Times New Roman"/>
        </w:rPr>
        <w:t xml:space="preserve"> Therefore, we examine this </w:t>
      </w:r>
      <w:r w:rsidR="00D30648">
        <w:rPr>
          <w:rFonts w:ascii="Times New Roman" w:hAnsi="Times New Roman"/>
        </w:rPr>
        <w:lastRenderedPageBreak/>
        <w:t xml:space="preserve">systematically in Table </w:t>
      </w:r>
      <w:r w:rsidR="00C40E99">
        <w:rPr>
          <w:rFonts w:ascii="Times New Roman" w:hAnsi="Times New Roman"/>
        </w:rPr>
        <w:t>7</w:t>
      </w:r>
      <w:r w:rsidR="00D30648">
        <w:rPr>
          <w:rFonts w:ascii="Times New Roman" w:hAnsi="Times New Roman"/>
        </w:rPr>
        <w:t xml:space="preserve">, which shows the proportion of safe choices in the precommitment conditions in all 9 studies, and tests whether the observed proportion is statistically different from .50, using a one-sample t-test. </w:t>
      </w:r>
      <w:r w:rsidR="001A3D5C">
        <w:rPr>
          <w:rFonts w:ascii="Times New Roman" w:hAnsi="Times New Roman"/>
        </w:rPr>
        <w:t>As seen there, the precommitment condition is often near .50, but also sometimes pushes significantly past .50</w:t>
      </w:r>
      <w:r w:rsidR="00FF35E4">
        <w:rPr>
          <w:rFonts w:ascii="Times New Roman" w:hAnsi="Times New Roman"/>
        </w:rPr>
        <w:t>,</w:t>
      </w:r>
      <w:r w:rsidR="001A3D5C">
        <w:rPr>
          <w:rFonts w:ascii="Times New Roman" w:hAnsi="Times New Roman"/>
        </w:rPr>
        <w:t xml:space="preserve"> to .60 or more, as seen in Studies 2, 3, S1, and S2. Overall, these results cannot rule out decision difficulty and diversification as drivers of the effect, but also show that </w:t>
      </w:r>
      <w:r w:rsidR="00FF35E4">
        <w:rPr>
          <w:rFonts w:ascii="Times New Roman" w:hAnsi="Times New Roman"/>
        </w:rPr>
        <w:t>they are not the</w:t>
      </w:r>
      <w:r w:rsidR="001A3D5C">
        <w:rPr>
          <w:rFonts w:ascii="Times New Roman" w:hAnsi="Times New Roman"/>
        </w:rPr>
        <w:t xml:space="preserve"> </w:t>
      </w:r>
      <w:r w:rsidR="001A3D5C">
        <w:rPr>
          <w:rFonts w:ascii="Times New Roman" w:hAnsi="Times New Roman"/>
          <w:i/>
          <w:iCs/>
        </w:rPr>
        <w:t>only</w:t>
      </w:r>
      <w:r w:rsidR="001A3D5C">
        <w:rPr>
          <w:rFonts w:ascii="Times New Roman" w:hAnsi="Times New Roman"/>
        </w:rPr>
        <w:t xml:space="preserve"> thing driving the effect. </w:t>
      </w:r>
    </w:p>
    <w:p w14:paraId="438472D9" w14:textId="77777777" w:rsidR="003565F7" w:rsidRDefault="003565F7" w:rsidP="003565F7">
      <w:pPr>
        <w:spacing w:line="480" w:lineRule="auto"/>
        <w:rPr>
          <w:rFonts w:ascii="Times New Roman" w:hAnsi="Times New Roman"/>
          <w:i/>
          <w:iCs/>
        </w:rPr>
      </w:pPr>
    </w:p>
    <w:p w14:paraId="4C5DAF1C" w14:textId="744B18E8" w:rsidR="003565F7" w:rsidRPr="00661116" w:rsidRDefault="003565F7" w:rsidP="003565F7">
      <w:pPr>
        <w:spacing w:line="480" w:lineRule="auto"/>
        <w:rPr>
          <w:rFonts w:ascii="Times New Roman" w:hAnsi="Times New Roman"/>
          <w:b/>
          <w:bCs/>
          <w:i/>
          <w:iCs/>
        </w:rPr>
      </w:pPr>
      <w:r>
        <w:rPr>
          <w:rFonts w:ascii="Times New Roman" w:hAnsi="Times New Roman"/>
          <w:i/>
          <w:iCs/>
        </w:rPr>
        <w:t xml:space="preserve">Table </w:t>
      </w:r>
      <w:r w:rsidR="00C40E99">
        <w:rPr>
          <w:rFonts w:ascii="Times New Roman" w:hAnsi="Times New Roman"/>
          <w:i/>
          <w:iCs/>
        </w:rPr>
        <w:t>7</w:t>
      </w:r>
      <w:r>
        <w:rPr>
          <w:rFonts w:ascii="Times New Roman" w:hAnsi="Times New Roman"/>
          <w:i/>
          <w:iCs/>
        </w:rPr>
        <w:t>. Summary of investment proportion in the precommitment condition of every study, and whether the proportion is significantly different from .50</w:t>
      </w:r>
      <w:r w:rsidR="005C7AB0">
        <w:rPr>
          <w:rFonts w:ascii="Times New Roman" w:hAnsi="Times New Roman"/>
          <w:i/>
          <w:iCs/>
        </w:rPr>
        <w:t xml:space="preserve"> using a one-sample t-test</w:t>
      </w:r>
      <w:r>
        <w:rPr>
          <w:rFonts w:ascii="Times New Roman" w:hAnsi="Times New Roman"/>
          <w:i/>
          <w:iCs/>
        </w:rPr>
        <w:t xml:space="preserve">. </w:t>
      </w:r>
    </w:p>
    <w:tbl>
      <w:tblPr>
        <w:tblStyle w:val="PlainTable3"/>
        <w:tblW w:w="9073" w:type="dxa"/>
        <w:tblLook w:val="04A0" w:firstRow="1" w:lastRow="0" w:firstColumn="1" w:lastColumn="0" w:noHBand="0" w:noVBand="1"/>
      </w:tblPr>
      <w:tblGrid>
        <w:gridCol w:w="1030"/>
        <w:gridCol w:w="4698"/>
        <w:gridCol w:w="996"/>
        <w:gridCol w:w="996"/>
        <w:gridCol w:w="996"/>
        <w:gridCol w:w="996"/>
      </w:tblGrid>
      <w:tr w:rsidR="003565F7" w:rsidRPr="003E13BC" w14:paraId="13AA2C07" w14:textId="77777777" w:rsidTr="0043031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898" w:type="dxa"/>
            <w:noWrap/>
            <w:vAlign w:val="center"/>
            <w:hideMark/>
          </w:tcPr>
          <w:p w14:paraId="2760B7EE" w14:textId="77777777" w:rsidR="003565F7" w:rsidRPr="003E13BC" w:rsidRDefault="003565F7" w:rsidP="00601DE3">
            <w:pPr>
              <w:spacing w:line="480" w:lineRule="auto"/>
              <w:ind w:left="720" w:hanging="720"/>
              <w:jc w:val="center"/>
              <w:rPr>
                <w:rFonts w:ascii="Times New Roman" w:hAnsi="Times New Roman"/>
              </w:rPr>
            </w:pPr>
          </w:p>
        </w:tc>
        <w:tc>
          <w:tcPr>
            <w:tcW w:w="4698" w:type="dxa"/>
            <w:noWrap/>
            <w:vAlign w:val="center"/>
            <w:hideMark/>
          </w:tcPr>
          <w:p w14:paraId="447CE8E5" w14:textId="77777777" w:rsidR="003565F7" w:rsidRPr="003E13BC" w:rsidRDefault="003565F7" w:rsidP="00601DE3">
            <w:pPr>
              <w:spacing w:line="480" w:lineRule="auto"/>
              <w:ind w:left="720" w:hanging="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3476" w:type="dxa"/>
            <w:gridSpan w:val="4"/>
            <w:tcBorders>
              <w:bottom w:val="single" w:sz="4" w:space="0" w:color="auto"/>
            </w:tcBorders>
            <w:noWrap/>
            <w:vAlign w:val="center"/>
            <w:hideMark/>
          </w:tcPr>
          <w:p w14:paraId="06FF8551" w14:textId="77777777" w:rsidR="003565F7" w:rsidRPr="003E13BC" w:rsidRDefault="003565F7" w:rsidP="00601DE3">
            <w:pPr>
              <w:spacing w:line="480" w:lineRule="auto"/>
              <w:ind w:left="720" w:hanging="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Blocks</w:t>
            </w:r>
          </w:p>
        </w:tc>
      </w:tr>
      <w:tr w:rsidR="003565F7" w:rsidRPr="003E13BC" w14:paraId="00981161"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0267B37B" w14:textId="77777777" w:rsidR="003565F7" w:rsidRPr="003E13BC" w:rsidRDefault="003565F7" w:rsidP="00601DE3">
            <w:pPr>
              <w:spacing w:line="480" w:lineRule="auto"/>
              <w:jc w:val="center"/>
              <w:rPr>
                <w:rFonts w:ascii="Times New Roman" w:hAnsi="Times New Roman"/>
              </w:rPr>
            </w:pPr>
            <w:r>
              <w:rPr>
                <w:rFonts w:ascii="Times New Roman" w:hAnsi="Times New Roman"/>
              </w:rPr>
              <w:t>Study</w:t>
            </w:r>
          </w:p>
        </w:tc>
        <w:tc>
          <w:tcPr>
            <w:tcW w:w="4698" w:type="dxa"/>
            <w:noWrap/>
            <w:vAlign w:val="center"/>
            <w:hideMark/>
          </w:tcPr>
          <w:p w14:paraId="5F5D2C3B"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Name</w:t>
            </w:r>
          </w:p>
        </w:tc>
        <w:tc>
          <w:tcPr>
            <w:tcW w:w="869" w:type="dxa"/>
            <w:tcBorders>
              <w:top w:val="single" w:sz="4" w:space="0" w:color="auto"/>
              <w:bottom w:val="single" w:sz="4" w:space="0" w:color="auto"/>
            </w:tcBorders>
            <w:noWrap/>
            <w:vAlign w:val="center"/>
            <w:hideMark/>
          </w:tcPr>
          <w:p w14:paraId="1476B645"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1</w:t>
            </w:r>
          </w:p>
        </w:tc>
        <w:tc>
          <w:tcPr>
            <w:tcW w:w="869" w:type="dxa"/>
            <w:tcBorders>
              <w:top w:val="single" w:sz="4" w:space="0" w:color="auto"/>
              <w:bottom w:val="single" w:sz="4" w:space="0" w:color="auto"/>
            </w:tcBorders>
            <w:noWrap/>
            <w:vAlign w:val="center"/>
            <w:hideMark/>
          </w:tcPr>
          <w:p w14:paraId="293B2F96"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2</w:t>
            </w:r>
          </w:p>
        </w:tc>
        <w:tc>
          <w:tcPr>
            <w:tcW w:w="869" w:type="dxa"/>
            <w:tcBorders>
              <w:top w:val="single" w:sz="4" w:space="0" w:color="auto"/>
              <w:bottom w:val="single" w:sz="4" w:space="0" w:color="auto"/>
            </w:tcBorders>
            <w:noWrap/>
            <w:vAlign w:val="center"/>
            <w:hideMark/>
          </w:tcPr>
          <w:p w14:paraId="5E9D6202"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3</w:t>
            </w:r>
          </w:p>
        </w:tc>
        <w:tc>
          <w:tcPr>
            <w:tcW w:w="869" w:type="dxa"/>
            <w:tcBorders>
              <w:top w:val="single" w:sz="4" w:space="0" w:color="auto"/>
              <w:bottom w:val="single" w:sz="4" w:space="0" w:color="auto"/>
            </w:tcBorders>
            <w:noWrap/>
            <w:vAlign w:val="center"/>
            <w:hideMark/>
          </w:tcPr>
          <w:p w14:paraId="56C5E2BB"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4</w:t>
            </w:r>
          </w:p>
        </w:tc>
      </w:tr>
      <w:tr w:rsidR="003565F7" w:rsidRPr="003E13BC" w14:paraId="37E642E2"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64DF69DD"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1</w:t>
            </w:r>
          </w:p>
        </w:tc>
        <w:tc>
          <w:tcPr>
            <w:tcW w:w="4698" w:type="dxa"/>
            <w:noWrap/>
            <w:vAlign w:val="center"/>
            <w:hideMark/>
          </w:tcPr>
          <w:p w14:paraId="69ED22E5"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Think-aloud protocol</w:t>
            </w:r>
          </w:p>
        </w:tc>
        <w:tc>
          <w:tcPr>
            <w:tcW w:w="869" w:type="dxa"/>
            <w:tcBorders>
              <w:top w:val="single" w:sz="4" w:space="0" w:color="auto"/>
            </w:tcBorders>
            <w:noWrap/>
            <w:vAlign w:val="center"/>
            <w:hideMark/>
          </w:tcPr>
          <w:p w14:paraId="496087CD"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0.51</w:t>
            </w:r>
          </w:p>
        </w:tc>
        <w:tc>
          <w:tcPr>
            <w:tcW w:w="869" w:type="dxa"/>
            <w:tcBorders>
              <w:top w:val="single" w:sz="4" w:space="0" w:color="auto"/>
            </w:tcBorders>
            <w:noWrap/>
            <w:vAlign w:val="center"/>
            <w:hideMark/>
          </w:tcPr>
          <w:p w14:paraId="1746B0CC"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0.51</w:t>
            </w:r>
          </w:p>
        </w:tc>
        <w:tc>
          <w:tcPr>
            <w:tcW w:w="869" w:type="dxa"/>
            <w:tcBorders>
              <w:top w:val="single" w:sz="4" w:space="0" w:color="auto"/>
            </w:tcBorders>
            <w:noWrap/>
            <w:vAlign w:val="center"/>
            <w:hideMark/>
          </w:tcPr>
          <w:p w14:paraId="0DF9361D"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0.45</w:t>
            </w:r>
          </w:p>
        </w:tc>
        <w:tc>
          <w:tcPr>
            <w:tcW w:w="869" w:type="dxa"/>
            <w:tcBorders>
              <w:top w:val="single" w:sz="4" w:space="0" w:color="auto"/>
            </w:tcBorders>
            <w:noWrap/>
            <w:vAlign w:val="center"/>
            <w:hideMark/>
          </w:tcPr>
          <w:p w14:paraId="2C9DAC43"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0.48</w:t>
            </w:r>
          </w:p>
        </w:tc>
      </w:tr>
      <w:tr w:rsidR="003565F7" w:rsidRPr="003E13BC" w14:paraId="5793263F"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17A0A8F4"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2</w:t>
            </w:r>
          </w:p>
        </w:tc>
        <w:tc>
          <w:tcPr>
            <w:tcW w:w="4698" w:type="dxa"/>
            <w:noWrap/>
            <w:vAlign w:val="center"/>
            <w:hideMark/>
          </w:tcPr>
          <w:p w14:paraId="097E4BBF"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Probability Education (Control)</w:t>
            </w:r>
          </w:p>
        </w:tc>
        <w:tc>
          <w:tcPr>
            <w:tcW w:w="869" w:type="dxa"/>
            <w:noWrap/>
            <w:vAlign w:val="center"/>
            <w:hideMark/>
          </w:tcPr>
          <w:p w14:paraId="4D2C8D37"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0.54</w:t>
            </w:r>
          </w:p>
        </w:tc>
        <w:tc>
          <w:tcPr>
            <w:tcW w:w="869" w:type="dxa"/>
            <w:noWrap/>
            <w:vAlign w:val="center"/>
            <w:hideMark/>
          </w:tcPr>
          <w:p w14:paraId="413264FA"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0.49</w:t>
            </w:r>
          </w:p>
        </w:tc>
        <w:tc>
          <w:tcPr>
            <w:tcW w:w="869" w:type="dxa"/>
            <w:noWrap/>
            <w:vAlign w:val="center"/>
            <w:hideMark/>
          </w:tcPr>
          <w:p w14:paraId="4558972C"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0.52</w:t>
            </w:r>
          </w:p>
        </w:tc>
        <w:tc>
          <w:tcPr>
            <w:tcW w:w="869" w:type="dxa"/>
            <w:noWrap/>
            <w:vAlign w:val="center"/>
            <w:hideMark/>
          </w:tcPr>
          <w:p w14:paraId="72AC5058"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w:t>
            </w:r>
          </w:p>
        </w:tc>
      </w:tr>
      <w:tr w:rsidR="003565F7" w:rsidRPr="003E13BC" w14:paraId="3C0A9B66"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432F167A"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2</w:t>
            </w:r>
          </w:p>
        </w:tc>
        <w:tc>
          <w:tcPr>
            <w:tcW w:w="4698" w:type="dxa"/>
            <w:noWrap/>
            <w:vAlign w:val="center"/>
            <w:hideMark/>
          </w:tcPr>
          <w:p w14:paraId="007E2D20"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Probability Education (Education)</w:t>
            </w:r>
          </w:p>
        </w:tc>
        <w:tc>
          <w:tcPr>
            <w:tcW w:w="869" w:type="dxa"/>
            <w:noWrap/>
            <w:vAlign w:val="center"/>
            <w:hideMark/>
          </w:tcPr>
          <w:p w14:paraId="0395E032"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0.65***</w:t>
            </w:r>
          </w:p>
        </w:tc>
        <w:tc>
          <w:tcPr>
            <w:tcW w:w="869" w:type="dxa"/>
            <w:noWrap/>
            <w:vAlign w:val="center"/>
            <w:hideMark/>
          </w:tcPr>
          <w:p w14:paraId="27C6A127"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0.56</w:t>
            </w:r>
          </w:p>
        </w:tc>
        <w:tc>
          <w:tcPr>
            <w:tcW w:w="869" w:type="dxa"/>
            <w:noWrap/>
            <w:vAlign w:val="center"/>
            <w:hideMark/>
          </w:tcPr>
          <w:p w14:paraId="0A2122FB"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0.53</w:t>
            </w:r>
          </w:p>
        </w:tc>
        <w:tc>
          <w:tcPr>
            <w:tcW w:w="869" w:type="dxa"/>
            <w:noWrap/>
            <w:vAlign w:val="center"/>
            <w:hideMark/>
          </w:tcPr>
          <w:p w14:paraId="3447A826"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0.54</w:t>
            </w:r>
          </w:p>
        </w:tc>
      </w:tr>
      <w:tr w:rsidR="003565F7" w:rsidRPr="003E13BC" w14:paraId="3E817D08"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7DF87539"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3</w:t>
            </w:r>
          </w:p>
        </w:tc>
        <w:tc>
          <w:tcPr>
            <w:tcW w:w="4698" w:type="dxa"/>
            <w:noWrap/>
            <w:vAlign w:val="center"/>
            <w:hideMark/>
          </w:tcPr>
          <w:p w14:paraId="3FB61A12"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Varying the number of rounds (20 rounds)</w:t>
            </w:r>
          </w:p>
        </w:tc>
        <w:tc>
          <w:tcPr>
            <w:tcW w:w="869" w:type="dxa"/>
            <w:noWrap/>
            <w:vAlign w:val="center"/>
            <w:hideMark/>
          </w:tcPr>
          <w:p w14:paraId="481302E0"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0.59*</w:t>
            </w:r>
          </w:p>
        </w:tc>
        <w:tc>
          <w:tcPr>
            <w:tcW w:w="869" w:type="dxa"/>
            <w:noWrap/>
            <w:vAlign w:val="center"/>
            <w:hideMark/>
          </w:tcPr>
          <w:p w14:paraId="1C621927"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w:t>
            </w:r>
          </w:p>
        </w:tc>
        <w:tc>
          <w:tcPr>
            <w:tcW w:w="869" w:type="dxa"/>
            <w:noWrap/>
            <w:vAlign w:val="center"/>
            <w:hideMark/>
          </w:tcPr>
          <w:p w14:paraId="7A6BB578"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0.42†</w:t>
            </w:r>
          </w:p>
        </w:tc>
        <w:tc>
          <w:tcPr>
            <w:tcW w:w="869" w:type="dxa"/>
            <w:noWrap/>
            <w:vAlign w:val="center"/>
            <w:hideMark/>
          </w:tcPr>
          <w:p w14:paraId="111DC7AA"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0.41*</w:t>
            </w:r>
          </w:p>
        </w:tc>
      </w:tr>
      <w:tr w:rsidR="003565F7" w:rsidRPr="003E13BC" w14:paraId="5ADB334C"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08A65F32"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3</w:t>
            </w:r>
          </w:p>
        </w:tc>
        <w:tc>
          <w:tcPr>
            <w:tcW w:w="4698" w:type="dxa"/>
            <w:noWrap/>
            <w:vAlign w:val="center"/>
            <w:hideMark/>
          </w:tcPr>
          <w:p w14:paraId="719EB8FC"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Varying the number of rounds (10 rounds)</w:t>
            </w:r>
          </w:p>
        </w:tc>
        <w:tc>
          <w:tcPr>
            <w:tcW w:w="869" w:type="dxa"/>
            <w:noWrap/>
            <w:vAlign w:val="center"/>
            <w:hideMark/>
          </w:tcPr>
          <w:p w14:paraId="712B81BF"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0.59*</w:t>
            </w:r>
          </w:p>
        </w:tc>
        <w:tc>
          <w:tcPr>
            <w:tcW w:w="869" w:type="dxa"/>
            <w:noWrap/>
            <w:vAlign w:val="center"/>
            <w:hideMark/>
          </w:tcPr>
          <w:p w14:paraId="2D1D734D"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0.51</w:t>
            </w:r>
          </w:p>
        </w:tc>
        <w:tc>
          <w:tcPr>
            <w:tcW w:w="869" w:type="dxa"/>
            <w:noWrap/>
            <w:vAlign w:val="center"/>
            <w:hideMark/>
          </w:tcPr>
          <w:p w14:paraId="5DDD0EA3"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0.45</w:t>
            </w:r>
          </w:p>
        </w:tc>
        <w:tc>
          <w:tcPr>
            <w:tcW w:w="869" w:type="dxa"/>
            <w:noWrap/>
            <w:vAlign w:val="center"/>
            <w:hideMark/>
          </w:tcPr>
          <w:p w14:paraId="04876FDD"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0.49</w:t>
            </w:r>
          </w:p>
        </w:tc>
      </w:tr>
      <w:tr w:rsidR="003565F7" w:rsidRPr="003E13BC" w14:paraId="6CA3697B"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264BC56D"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3</w:t>
            </w:r>
          </w:p>
        </w:tc>
        <w:tc>
          <w:tcPr>
            <w:tcW w:w="4698" w:type="dxa"/>
            <w:noWrap/>
            <w:vAlign w:val="center"/>
            <w:hideMark/>
          </w:tcPr>
          <w:p w14:paraId="43E19FC5"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Varying the number of rounds (5 rounds)</w:t>
            </w:r>
          </w:p>
        </w:tc>
        <w:tc>
          <w:tcPr>
            <w:tcW w:w="869" w:type="dxa"/>
            <w:noWrap/>
            <w:vAlign w:val="center"/>
            <w:hideMark/>
          </w:tcPr>
          <w:p w14:paraId="41BB12BF"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0.48</w:t>
            </w:r>
          </w:p>
        </w:tc>
        <w:tc>
          <w:tcPr>
            <w:tcW w:w="869" w:type="dxa"/>
            <w:noWrap/>
            <w:vAlign w:val="center"/>
            <w:hideMark/>
          </w:tcPr>
          <w:p w14:paraId="40CAFC7C"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0.39*</w:t>
            </w:r>
          </w:p>
        </w:tc>
        <w:tc>
          <w:tcPr>
            <w:tcW w:w="869" w:type="dxa"/>
            <w:noWrap/>
            <w:vAlign w:val="center"/>
            <w:hideMark/>
          </w:tcPr>
          <w:p w14:paraId="4644E562"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0.44</w:t>
            </w:r>
          </w:p>
        </w:tc>
        <w:tc>
          <w:tcPr>
            <w:tcW w:w="869" w:type="dxa"/>
            <w:noWrap/>
            <w:vAlign w:val="center"/>
            <w:hideMark/>
          </w:tcPr>
          <w:p w14:paraId="5C20AD40"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0.43</w:t>
            </w:r>
          </w:p>
        </w:tc>
      </w:tr>
      <w:tr w:rsidR="003565F7" w:rsidRPr="003E13BC" w14:paraId="04C0A3FC"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54128FD7"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4</w:t>
            </w:r>
          </w:p>
        </w:tc>
        <w:tc>
          <w:tcPr>
            <w:tcW w:w="4698" w:type="dxa"/>
            <w:noWrap/>
            <w:vAlign w:val="center"/>
            <w:hideMark/>
          </w:tcPr>
          <w:p w14:paraId="67250431"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Binding vs non-binding precommitment (Precommitment)</w:t>
            </w:r>
          </w:p>
        </w:tc>
        <w:tc>
          <w:tcPr>
            <w:tcW w:w="869" w:type="dxa"/>
            <w:noWrap/>
            <w:vAlign w:val="center"/>
            <w:hideMark/>
          </w:tcPr>
          <w:p w14:paraId="121ECAE2"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0.54</w:t>
            </w:r>
          </w:p>
        </w:tc>
        <w:tc>
          <w:tcPr>
            <w:tcW w:w="869" w:type="dxa"/>
            <w:noWrap/>
            <w:vAlign w:val="center"/>
            <w:hideMark/>
          </w:tcPr>
          <w:p w14:paraId="4259F5FA"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0.49</w:t>
            </w:r>
          </w:p>
        </w:tc>
        <w:tc>
          <w:tcPr>
            <w:tcW w:w="869" w:type="dxa"/>
            <w:noWrap/>
            <w:vAlign w:val="center"/>
            <w:hideMark/>
          </w:tcPr>
          <w:p w14:paraId="103E424D"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0.43</w:t>
            </w:r>
          </w:p>
        </w:tc>
        <w:tc>
          <w:tcPr>
            <w:tcW w:w="869" w:type="dxa"/>
            <w:noWrap/>
            <w:vAlign w:val="center"/>
            <w:hideMark/>
          </w:tcPr>
          <w:p w14:paraId="3F824C94"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0.47</w:t>
            </w:r>
          </w:p>
        </w:tc>
      </w:tr>
      <w:tr w:rsidR="003565F7" w:rsidRPr="003E13BC" w14:paraId="554D5D58"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6D5FA255"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4</w:t>
            </w:r>
          </w:p>
        </w:tc>
        <w:tc>
          <w:tcPr>
            <w:tcW w:w="4698" w:type="dxa"/>
            <w:noWrap/>
            <w:vAlign w:val="center"/>
            <w:hideMark/>
          </w:tcPr>
          <w:p w14:paraId="08E38208"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Binding vs non-binding precommitment (Non-binding Precommitment)</w:t>
            </w:r>
          </w:p>
        </w:tc>
        <w:tc>
          <w:tcPr>
            <w:tcW w:w="869" w:type="dxa"/>
            <w:noWrap/>
            <w:vAlign w:val="center"/>
            <w:hideMark/>
          </w:tcPr>
          <w:p w14:paraId="1B0016CB"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0.45</w:t>
            </w:r>
          </w:p>
        </w:tc>
        <w:tc>
          <w:tcPr>
            <w:tcW w:w="869" w:type="dxa"/>
            <w:noWrap/>
            <w:vAlign w:val="center"/>
            <w:hideMark/>
          </w:tcPr>
          <w:p w14:paraId="6D7731D3"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0.39*</w:t>
            </w:r>
          </w:p>
        </w:tc>
        <w:tc>
          <w:tcPr>
            <w:tcW w:w="869" w:type="dxa"/>
            <w:noWrap/>
            <w:vAlign w:val="center"/>
            <w:hideMark/>
          </w:tcPr>
          <w:p w14:paraId="10BF61D1"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0.46</w:t>
            </w:r>
          </w:p>
        </w:tc>
        <w:tc>
          <w:tcPr>
            <w:tcW w:w="869" w:type="dxa"/>
            <w:noWrap/>
            <w:vAlign w:val="center"/>
            <w:hideMark/>
          </w:tcPr>
          <w:p w14:paraId="191853A3"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0.44</w:t>
            </w:r>
          </w:p>
        </w:tc>
      </w:tr>
      <w:tr w:rsidR="003565F7" w:rsidRPr="003E13BC" w14:paraId="2098E4DB"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1402DD9A"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lastRenderedPageBreak/>
              <w:t>5</w:t>
            </w:r>
          </w:p>
        </w:tc>
        <w:tc>
          <w:tcPr>
            <w:tcW w:w="4698" w:type="dxa"/>
            <w:noWrap/>
            <w:vAlign w:val="center"/>
            <w:hideMark/>
          </w:tcPr>
          <w:p w14:paraId="4CFC0E3F"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Process data and mediation (Non-binding Precommitment)</w:t>
            </w:r>
          </w:p>
        </w:tc>
        <w:tc>
          <w:tcPr>
            <w:tcW w:w="869" w:type="dxa"/>
            <w:noWrap/>
            <w:vAlign w:val="center"/>
            <w:hideMark/>
          </w:tcPr>
          <w:p w14:paraId="7CBB74A7"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0.51</w:t>
            </w:r>
          </w:p>
        </w:tc>
        <w:tc>
          <w:tcPr>
            <w:tcW w:w="869" w:type="dxa"/>
            <w:noWrap/>
            <w:vAlign w:val="center"/>
            <w:hideMark/>
          </w:tcPr>
          <w:p w14:paraId="3E772ED8"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0.46*</w:t>
            </w:r>
          </w:p>
        </w:tc>
        <w:tc>
          <w:tcPr>
            <w:tcW w:w="869" w:type="dxa"/>
            <w:noWrap/>
            <w:vAlign w:val="center"/>
            <w:hideMark/>
          </w:tcPr>
          <w:p w14:paraId="7D4CD7D3"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0.46*</w:t>
            </w:r>
          </w:p>
        </w:tc>
        <w:tc>
          <w:tcPr>
            <w:tcW w:w="869" w:type="dxa"/>
            <w:noWrap/>
            <w:vAlign w:val="center"/>
            <w:hideMark/>
          </w:tcPr>
          <w:p w14:paraId="0800C52C"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0.43***</w:t>
            </w:r>
          </w:p>
        </w:tc>
      </w:tr>
      <w:tr w:rsidR="003565F7" w:rsidRPr="003E13BC" w14:paraId="2A641437"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24905E0E"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6</w:t>
            </w:r>
          </w:p>
        </w:tc>
        <w:tc>
          <w:tcPr>
            <w:tcW w:w="4698" w:type="dxa"/>
            <w:noWrap/>
            <w:vAlign w:val="center"/>
            <w:hideMark/>
          </w:tcPr>
          <w:p w14:paraId="51751747"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Precommitment in Social dilemmas (Precommitment)</w:t>
            </w:r>
          </w:p>
        </w:tc>
        <w:tc>
          <w:tcPr>
            <w:tcW w:w="869" w:type="dxa"/>
            <w:noWrap/>
            <w:vAlign w:val="center"/>
            <w:hideMark/>
          </w:tcPr>
          <w:p w14:paraId="140AD09E"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0.56</w:t>
            </w:r>
          </w:p>
        </w:tc>
        <w:tc>
          <w:tcPr>
            <w:tcW w:w="869" w:type="dxa"/>
            <w:noWrap/>
            <w:vAlign w:val="center"/>
            <w:hideMark/>
          </w:tcPr>
          <w:p w14:paraId="7DF1FE5C"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0.47</w:t>
            </w:r>
          </w:p>
        </w:tc>
        <w:tc>
          <w:tcPr>
            <w:tcW w:w="869" w:type="dxa"/>
            <w:noWrap/>
            <w:vAlign w:val="center"/>
            <w:hideMark/>
          </w:tcPr>
          <w:p w14:paraId="47B7FBC5"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0.45</w:t>
            </w:r>
          </w:p>
        </w:tc>
        <w:tc>
          <w:tcPr>
            <w:tcW w:w="869" w:type="dxa"/>
            <w:noWrap/>
            <w:vAlign w:val="center"/>
            <w:hideMark/>
          </w:tcPr>
          <w:p w14:paraId="78428137"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w:t>
            </w:r>
          </w:p>
        </w:tc>
      </w:tr>
      <w:tr w:rsidR="003565F7" w:rsidRPr="003E13BC" w14:paraId="088197BA"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5C6857EC"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6</w:t>
            </w:r>
          </w:p>
        </w:tc>
        <w:tc>
          <w:tcPr>
            <w:tcW w:w="4698" w:type="dxa"/>
            <w:noWrap/>
            <w:vAlign w:val="center"/>
            <w:hideMark/>
          </w:tcPr>
          <w:p w14:paraId="2A01DFB0"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Precommitment in Social dilemmas (Non-binding Precommitment)</w:t>
            </w:r>
          </w:p>
        </w:tc>
        <w:tc>
          <w:tcPr>
            <w:tcW w:w="869" w:type="dxa"/>
            <w:noWrap/>
            <w:vAlign w:val="center"/>
            <w:hideMark/>
          </w:tcPr>
          <w:p w14:paraId="24EF2C72"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0.34***</w:t>
            </w:r>
          </w:p>
        </w:tc>
        <w:tc>
          <w:tcPr>
            <w:tcW w:w="869" w:type="dxa"/>
            <w:noWrap/>
            <w:vAlign w:val="center"/>
            <w:hideMark/>
          </w:tcPr>
          <w:p w14:paraId="0688CC29"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0.32***</w:t>
            </w:r>
          </w:p>
        </w:tc>
        <w:tc>
          <w:tcPr>
            <w:tcW w:w="869" w:type="dxa"/>
            <w:noWrap/>
            <w:vAlign w:val="center"/>
            <w:hideMark/>
          </w:tcPr>
          <w:p w14:paraId="490D03F5"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0.3***</w:t>
            </w:r>
          </w:p>
        </w:tc>
        <w:tc>
          <w:tcPr>
            <w:tcW w:w="869" w:type="dxa"/>
            <w:noWrap/>
            <w:vAlign w:val="center"/>
            <w:hideMark/>
          </w:tcPr>
          <w:p w14:paraId="135D9749"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w:t>
            </w:r>
          </w:p>
        </w:tc>
      </w:tr>
      <w:tr w:rsidR="003565F7" w:rsidRPr="003E13BC" w14:paraId="491E7302"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6EA663A1"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S1</w:t>
            </w:r>
          </w:p>
        </w:tc>
        <w:tc>
          <w:tcPr>
            <w:tcW w:w="4698" w:type="dxa"/>
            <w:noWrap/>
            <w:vAlign w:val="center"/>
            <w:hideMark/>
          </w:tcPr>
          <w:p w14:paraId="00490603"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Loss &amp;Gain study (Loss/Separate display)</w:t>
            </w:r>
          </w:p>
        </w:tc>
        <w:tc>
          <w:tcPr>
            <w:tcW w:w="869" w:type="dxa"/>
            <w:noWrap/>
            <w:vAlign w:val="center"/>
            <w:hideMark/>
          </w:tcPr>
          <w:p w14:paraId="0C785192"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w:t>
            </w:r>
          </w:p>
        </w:tc>
        <w:tc>
          <w:tcPr>
            <w:tcW w:w="869" w:type="dxa"/>
            <w:noWrap/>
            <w:vAlign w:val="center"/>
            <w:hideMark/>
          </w:tcPr>
          <w:p w14:paraId="7EDE1585"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0.55</w:t>
            </w:r>
          </w:p>
        </w:tc>
        <w:tc>
          <w:tcPr>
            <w:tcW w:w="869" w:type="dxa"/>
            <w:noWrap/>
            <w:vAlign w:val="center"/>
            <w:hideMark/>
          </w:tcPr>
          <w:p w14:paraId="28EC8279"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0.53</w:t>
            </w:r>
          </w:p>
        </w:tc>
        <w:tc>
          <w:tcPr>
            <w:tcW w:w="869" w:type="dxa"/>
            <w:noWrap/>
            <w:vAlign w:val="center"/>
            <w:hideMark/>
          </w:tcPr>
          <w:p w14:paraId="14562D8F"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0.51</w:t>
            </w:r>
          </w:p>
        </w:tc>
      </w:tr>
      <w:tr w:rsidR="003565F7" w:rsidRPr="003E13BC" w14:paraId="65A7FBF5"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302EE613"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S1</w:t>
            </w:r>
          </w:p>
        </w:tc>
        <w:tc>
          <w:tcPr>
            <w:tcW w:w="4698" w:type="dxa"/>
            <w:noWrap/>
            <w:vAlign w:val="center"/>
            <w:hideMark/>
          </w:tcPr>
          <w:p w14:paraId="123D3249"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Loss &amp; Gain study (Loss/Aggregate display)</w:t>
            </w:r>
          </w:p>
        </w:tc>
        <w:tc>
          <w:tcPr>
            <w:tcW w:w="869" w:type="dxa"/>
            <w:noWrap/>
            <w:vAlign w:val="center"/>
            <w:hideMark/>
          </w:tcPr>
          <w:p w14:paraId="50BEC3A8"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0.64**</w:t>
            </w:r>
          </w:p>
        </w:tc>
        <w:tc>
          <w:tcPr>
            <w:tcW w:w="869" w:type="dxa"/>
            <w:noWrap/>
            <w:vAlign w:val="center"/>
            <w:hideMark/>
          </w:tcPr>
          <w:p w14:paraId="4164D328"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0.53</w:t>
            </w:r>
          </w:p>
        </w:tc>
        <w:tc>
          <w:tcPr>
            <w:tcW w:w="869" w:type="dxa"/>
            <w:noWrap/>
            <w:vAlign w:val="center"/>
            <w:hideMark/>
          </w:tcPr>
          <w:p w14:paraId="5405782D"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0.52</w:t>
            </w:r>
          </w:p>
        </w:tc>
        <w:tc>
          <w:tcPr>
            <w:tcW w:w="869" w:type="dxa"/>
            <w:noWrap/>
            <w:vAlign w:val="center"/>
            <w:hideMark/>
          </w:tcPr>
          <w:p w14:paraId="70E03D99"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0.49</w:t>
            </w:r>
          </w:p>
        </w:tc>
      </w:tr>
      <w:tr w:rsidR="003565F7" w:rsidRPr="003E13BC" w14:paraId="2BB750C8"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7879DD10"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S1</w:t>
            </w:r>
          </w:p>
        </w:tc>
        <w:tc>
          <w:tcPr>
            <w:tcW w:w="4698" w:type="dxa"/>
            <w:noWrap/>
            <w:vAlign w:val="center"/>
            <w:hideMark/>
          </w:tcPr>
          <w:p w14:paraId="7622A0B3"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Loss &amp; Gain study (Gain/Separate display)</w:t>
            </w:r>
          </w:p>
        </w:tc>
        <w:tc>
          <w:tcPr>
            <w:tcW w:w="869" w:type="dxa"/>
            <w:noWrap/>
            <w:vAlign w:val="center"/>
            <w:hideMark/>
          </w:tcPr>
          <w:p w14:paraId="297BF6D4"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0.67***</w:t>
            </w:r>
          </w:p>
        </w:tc>
        <w:tc>
          <w:tcPr>
            <w:tcW w:w="869" w:type="dxa"/>
            <w:noWrap/>
            <w:vAlign w:val="center"/>
            <w:hideMark/>
          </w:tcPr>
          <w:p w14:paraId="13B8E9FA"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0.67***</w:t>
            </w:r>
          </w:p>
        </w:tc>
        <w:tc>
          <w:tcPr>
            <w:tcW w:w="869" w:type="dxa"/>
            <w:noWrap/>
            <w:vAlign w:val="center"/>
            <w:hideMark/>
          </w:tcPr>
          <w:p w14:paraId="37F4CFD2"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0.67***</w:t>
            </w:r>
          </w:p>
        </w:tc>
        <w:tc>
          <w:tcPr>
            <w:tcW w:w="869" w:type="dxa"/>
            <w:noWrap/>
            <w:vAlign w:val="center"/>
            <w:hideMark/>
          </w:tcPr>
          <w:p w14:paraId="45D58760"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0.67***</w:t>
            </w:r>
          </w:p>
        </w:tc>
      </w:tr>
      <w:tr w:rsidR="003565F7" w:rsidRPr="003E13BC" w14:paraId="2403441D"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32A2D981"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S1</w:t>
            </w:r>
          </w:p>
        </w:tc>
        <w:tc>
          <w:tcPr>
            <w:tcW w:w="4698" w:type="dxa"/>
            <w:noWrap/>
            <w:vAlign w:val="center"/>
            <w:hideMark/>
          </w:tcPr>
          <w:p w14:paraId="2C7F0354"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Loss &amp; Gain study (Gain/Aggregate display)</w:t>
            </w:r>
          </w:p>
        </w:tc>
        <w:tc>
          <w:tcPr>
            <w:tcW w:w="869" w:type="dxa"/>
            <w:noWrap/>
            <w:vAlign w:val="center"/>
            <w:hideMark/>
          </w:tcPr>
          <w:p w14:paraId="1FAF82B6"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0.6†</w:t>
            </w:r>
          </w:p>
        </w:tc>
        <w:tc>
          <w:tcPr>
            <w:tcW w:w="869" w:type="dxa"/>
            <w:noWrap/>
            <w:vAlign w:val="center"/>
            <w:hideMark/>
          </w:tcPr>
          <w:p w14:paraId="2B3647C0"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0.63*</w:t>
            </w:r>
          </w:p>
        </w:tc>
        <w:tc>
          <w:tcPr>
            <w:tcW w:w="869" w:type="dxa"/>
            <w:noWrap/>
            <w:vAlign w:val="center"/>
            <w:hideMark/>
          </w:tcPr>
          <w:p w14:paraId="5C6B5D1A"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0.63*</w:t>
            </w:r>
          </w:p>
        </w:tc>
        <w:tc>
          <w:tcPr>
            <w:tcW w:w="869" w:type="dxa"/>
            <w:noWrap/>
            <w:vAlign w:val="center"/>
            <w:hideMark/>
          </w:tcPr>
          <w:p w14:paraId="1DDF8BCF"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0.58</w:t>
            </w:r>
          </w:p>
        </w:tc>
      </w:tr>
      <w:tr w:rsidR="003565F7" w:rsidRPr="003E13BC" w14:paraId="040C42D6"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2C58E40E"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S2</w:t>
            </w:r>
          </w:p>
        </w:tc>
        <w:tc>
          <w:tcPr>
            <w:tcW w:w="4698" w:type="dxa"/>
            <w:noWrap/>
            <w:vAlign w:val="center"/>
            <w:hideMark/>
          </w:tcPr>
          <w:p w14:paraId="6931A68E"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Probability levels (4% condition)</w:t>
            </w:r>
          </w:p>
        </w:tc>
        <w:tc>
          <w:tcPr>
            <w:tcW w:w="869" w:type="dxa"/>
            <w:noWrap/>
            <w:vAlign w:val="center"/>
            <w:hideMark/>
          </w:tcPr>
          <w:p w14:paraId="30CF7BA4"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w:t>
            </w:r>
          </w:p>
        </w:tc>
        <w:tc>
          <w:tcPr>
            <w:tcW w:w="869" w:type="dxa"/>
            <w:noWrap/>
            <w:vAlign w:val="center"/>
            <w:hideMark/>
          </w:tcPr>
          <w:p w14:paraId="22C70531"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0.52</w:t>
            </w:r>
          </w:p>
        </w:tc>
        <w:tc>
          <w:tcPr>
            <w:tcW w:w="869" w:type="dxa"/>
            <w:noWrap/>
            <w:vAlign w:val="center"/>
            <w:hideMark/>
          </w:tcPr>
          <w:p w14:paraId="481EEEA2"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0.49</w:t>
            </w:r>
          </w:p>
        </w:tc>
        <w:tc>
          <w:tcPr>
            <w:tcW w:w="869" w:type="dxa"/>
            <w:noWrap/>
            <w:vAlign w:val="center"/>
            <w:hideMark/>
          </w:tcPr>
          <w:p w14:paraId="65B5A1C7"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0.49</w:t>
            </w:r>
          </w:p>
        </w:tc>
      </w:tr>
      <w:tr w:rsidR="003565F7" w:rsidRPr="003E13BC" w14:paraId="04A1BBD3"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656CC2AA"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S2</w:t>
            </w:r>
          </w:p>
        </w:tc>
        <w:tc>
          <w:tcPr>
            <w:tcW w:w="4698" w:type="dxa"/>
            <w:noWrap/>
            <w:vAlign w:val="center"/>
            <w:hideMark/>
          </w:tcPr>
          <w:p w14:paraId="1874D312"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Probability levels (20% condition)</w:t>
            </w:r>
          </w:p>
        </w:tc>
        <w:tc>
          <w:tcPr>
            <w:tcW w:w="869" w:type="dxa"/>
            <w:noWrap/>
            <w:vAlign w:val="center"/>
            <w:hideMark/>
          </w:tcPr>
          <w:p w14:paraId="54D20ED0"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0.63**</w:t>
            </w:r>
          </w:p>
        </w:tc>
        <w:tc>
          <w:tcPr>
            <w:tcW w:w="869" w:type="dxa"/>
            <w:noWrap/>
            <w:vAlign w:val="center"/>
            <w:hideMark/>
          </w:tcPr>
          <w:p w14:paraId="198F2106"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0.51</w:t>
            </w:r>
          </w:p>
        </w:tc>
        <w:tc>
          <w:tcPr>
            <w:tcW w:w="869" w:type="dxa"/>
            <w:noWrap/>
            <w:vAlign w:val="center"/>
            <w:hideMark/>
          </w:tcPr>
          <w:p w14:paraId="22F2A664"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0.53</w:t>
            </w:r>
          </w:p>
        </w:tc>
        <w:tc>
          <w:tcPr>
            <w:tcW w:w="869" w:type="dxa"/>
            <w:noWrap/>
            <w:vAlign w:val="center"/>
            <w:hideMark/>
          </w:tcPr>
          <w:p w14:paraId="51E6218B"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0.56</w:t>
            </w:r>
          </w:p>
        </w:tc>
      </w:tr>
      <w:tr w:rsidR="003565F7" w:rsidRPr="003E13BC" w14:paraId="118B608C"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4BAF3776"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S2</w:t>
            </w:r>
          </w:p>
        </w:tc>
        <w:tc>
          <w:tcPr>
            <w:tcW w:w="4698" w:type="dxa"/>
            <w:noWrap/>
            <w:vAlign w:val="center"/>
            <w:hideMark/>
          </w:tcPr>
          <w:p w14:paraId="1BEF9158"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Probability levels (50% condition)</w:t>
            </w:r>
          </w:p>
        </w:tc>
        <w:tc>
          <w:tcPr>
            <w:tcW w:w="869" w:type="dxa"/>
            <w:noWrap/>
            <w:vAlign w:val="center"/>
            <w:hideMark/>
          </w:tcPr>
          <w:p w14:paraId="50A7B0E3"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0.69***</w:t>
            </w:r>
          </w:p>
        </w:tc>
        <w:tc>
          <w:tcPr>
            <w:tcW w:w="869" w:type="dxa"/>
            <w:noWrap/>
            <w:vAlign w:val="center"/>
            <w:hideMark/>
          </w:tcPr>
          <w:p w14:paraId="4C39DF16"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0.63**</w:t>
            </w:r>
          </w:p>
        </w:tc>
        <w:tc>
          <w:tcPr>
            <w:tcW w:w="869" w:type="dxa"/>
            <w:noWrap/>
            <w:vAlign w:val="center"/>
            <w:hideMark/>
          </w:tcPr>
          <w:p w14:paraId="63303B09"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0.67***</w:t>
            </w:r>
          </w:p>
        </w:tc>
        <w:tc>
          <w:tcPr>
            <w:tcW w:w="869" w:type="dxa"/>
            <w:noWrap/>
            <w:vAlign w:val="center"/>
            <w:hideMark/>
          </w:tcPr>
          <w:p w14:paraId="4C55C5A0"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0.6†</w:t>
            </w:r>
          </w:p>
        </w:tc>
      </w:tr>
      <w:tr w:rsidR="003565F7" w:rsidRPr="003E13BC" w14:paraId="0C6AD435"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2B039109"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S3</w:t>
            </w:r>
          </w:p>
        </w:tc>
        <w:tc>
          <w:tcPr>
            <w:tcW w:w="4698" w:type="dxa"/>
            <w:noWrap/>
            <w:vAlign w:val="center"/>
            <w:hideMark/>
          </w:tcPr>
          <w:p w14:paraId="42DFC642"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Choice Focus study (40K/control)</w:t>
            </w:r>
          </w:p>
        </w:tc>
        <w:tc>
          <w:tcPr>
            <w:tcW w:w="869" w:type="dxa"/>
            <w:noWrap/>
            <w:vAlign w:val="center"/>
            <w:hideMark/>
          </w:tcPr>
          <w:p w14:paraId="1DC5B077"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0.57†</w:t>
            </w:r>
          </w:p>
        </w:tc>
        <w:tc>
          <w:tcPr>
            <w:tcW w:w="869" w:type="dxa"/>
            <w:noWrap/>
            <w:vAlign w:val="center"/>
            <w:hideMark/>
          </w:tcPr>
          <w:p w14:paraId="440F7A94"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0.49</w:t>
            </w:r>
          </w:p>
        </w:tc>
        <w:tc>
          <w:tcPr>
            <w:tcW w:w="869" w:type="dxa"/>
            <w:noWrap/>
            <w:vAlign w:val="center"/>
            <w:hideMark/>
          </w:tcPr>
          <w:p w14:paraId="20DE6632"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0.46</w:t>
            </w:r>
          </w:p>
        </w:tc>
        <w:tc>
          <w:tcPr>
            <w:tcW w:w="869" w:type="dxa"/>
            <w:noWrap/>
            <w:vAlign w:val="center"/>
            <w:hideMark/>
          </w:tcPr>
          <w:p w14:paraId="0F034B42"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0.51</w:t>
            </w:r>
          </w:p>
        </w:tc>
      </w:tr>
      <w:tr w:rsidR="003565F7" w:rsidRPr="003E13BC" w14:paraId="5FAC2499"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795BB5B0"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S3</w:t>
            </w:r>
          </w:p>
        </w:tc>
        <w:tc>
          <w:tcPr>
            <w:tcW w:w="4698" w:type="dxa"/>
            <w:noWrap/>
            <w:vAlign w:val="center"/>
            <w:hideMark/>
          </w:tcPr>
          <w:p w14:paraId="4E56293B"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Choice Focus study (40K/all20rounds)</w:t>
            </w:r>
          </w:p>
        </w:tc>
        <w:tc>
          <w:tcPr>
            <w:tcW w:w="869" w:type="dxa"/>
            <w:noWrap/>
            <w:vAlign w:val="center"/>
            <w:hideMark/>
          </w:tcPr>
          <w:p w14:paraId="5A78A5DB"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0.58†</w:t>
            </w:r>
          </w:p>
        </w:tc>
        <w:tc>
          <w:tcPr>
            <w:tcW w:w="869" w:type="dxa"/>
            <w:noWrap/>
            <w:vAlign w:val="center"/>
            <w:hideMark/>
          </w:tcPr>
          <w:p w14:paraId="617FB233"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0.54</w:t>
            </w:r>
          </w:p>
        </w:tc>
        <w:tc>
          <w:tcPr>
            <w:tcW w:w="869" w:type="dxa"/>
            <w:noWrap/>
            <w:vAlign w:val="center"/>
            <w:hideMark/>
          </w:tcPr>
          <w:p w14:paraId="7AE44117"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0.48</w:t>
            </w:r>
          </w:p>
        </w:tc>
        <w:tc>
          <w:tcPr>
            <w:tcW w:w="869" w:type="dxa"/>
            <w:noWrap/>
            <w:vAlign w:val="center"/>
            <w:hideMark/>
          </w:tcPr>
          <w:p w14:paraId="21A20525"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0.49</w:t>
            </w:r>
          </w:p>
        </w:tc>
      </w:tr>
      <w:tr w:rsidR="003565F7" w:rsidRPr="003E13BC" w14:paraId="515D6F75"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6A04D859"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S3</w:t>
            </w:r>
          </w:p>
        </w:tc>
        <w:tc>
          <w:tcPr>
            <w:tcW w:w="4698" w:type="dxa"/>
            <w:noWrap/>
            <w:vAlign w:val="center"/>
            <w:hideMark/>
          </w:tcPr>
          <w:p w14:paraId="56ECB535" w14:textId="77777777" w:rsidR="003565F7" w:rsidRPr="003E13BC" w:rsidRDefault="003565F7" w:rsidP="00601DE3">
            <w:pPr>
              <w:spacing w:line="480"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E13BC">
              <w:rPr>
                <w:rFonts w:ascii="Times New Roman" w:hAnsi="Times New Roman"/>
                <w:b/>
                <w:bCs/>
              </w:rPr>
              <w:t>Choice Focus study (30K/control)</w:t>
            </w:r>
          </w:p>
        </w:tc>
        <w:tc>
          <w:tcPr>
            <w:tcW w:w="869" w:type="dxa"/>
            <w:noWrap/>
            <w:vAlign w:val="center"/>
            <w:hideMark/>
          </w:tcPr>
          <w:p w14:paraId="51F09B27"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0.57</w:t>
            </w:r>
          </w:p>
        </w:tc>
        <w:tc>
          <w:tcPr>
            <w:tcW w:w="869" w:type="dxa"/>
            <w:noWrap/>
            <w:vAlign w:val="center"/>
            <w:hideMark/>
          </w:tcPr>
          <w:p w14:paraId="167D0C66"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0.43</w:t>
            </w:r>
          </w:p>
        </w:tc>
        <w:tc>
          <w:tcPr>
            <w:tcW w:w="869" w:type="dxa"/>
            <w:noWrap/>
            <w:vAlign w:val="center"/>
            <w:hideMark/>
          </w:tcPr>
          <w:p w14:paraId="565167BD"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0.46</w:t>
            </w:r>
          </w:p>
        </w:tc>
        <w:tc>
          <w:tcPr>
            <w:tcW w:w="869" w:type="dxa"/>
            <w:noWrap/>
            <w:vAlign w:val="center"/>
            <w:hideMark/>
          </w:tcPr>
          <w:p w14:paraId="0C05B0D4" w14:textId="77777777" w:rsidR="003565F7" w:rsidRPr="003E13BC" w:rsidRDefault="003565F7" w:rsidP="00601DE3">
            <w:pPr>
              <w:spacing w:line="480" w:lineRule="auto"/>
              <w:ind w:left="720" w:hanging="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E13BC">
              <w:rPr>
                <w:rFonts w:ascii="Times New Roman" w:hAnsi="Times New Roman"/>
              </w:rPr>
              <w:t>0.45</w:t>
            </w:r>
          </w:p>
        </w:tc>
      </w:tr>
      <w:tr w:rsidR="003565F7" w:rsidRPr="003E13BC" w14:paraId="0B8A7398" w14:textId="77777777" w:rsidTr="004303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8" w:type="dxa"/>
            <w:noWrap/>
            <w:vAlign w:val="center"/>
            <w:hideMark/>
          </w:tcPr>
          <w:p w14:paraId="0889CF6C" w14:textId="77777777" w:rsidR="003565F7" w:rsidRPr="003E13BC" w:rsidRDefault="003565F7" w:rsidP="00601DE3">
            <w:pPr>
              <w:spacing w:line="480" w:lineRule="auto"/>
              <w:ind w:left="720" w:hanging="720"/>
              <w:jc w:val="center"/>
              <w:rPr>
                <w:rFonts w:ascii="Times New Roman" w:hAnsi="Times New Roman"/>
              </w:rPr>
            </w:pPr>
            <w:r w:rsidRPr="003E13BC">
              <w:rPr>
                <w:rFonts w:ascii="Times New Roman" w:hAnsi="Times New Roman"/>
              </w:rPr>
              <w:t>S3</w:t>
            </w:r>
          </w:p>
        </w:tc>
        <w:tc>
          <w:tcPr>
            <w:tcW w:w="4698" w:type="dxa"/>
            <w:noWrap/>
            <w:vAlign w:val="center"/>
            <w:hideMark/>
          </w:tcPr>
          <w:p w14:paraId="29E715A3" w14:textId="77777777" w:rsidR="003565F7" w:rsidRPr="003E13BC" w:rsidRDefault="003565F7" w:rsidP="00601DE3">
            <w:pPr>
              <w:spacing w:line="480" w:lineRule="auto"/>
              <w:ind w:left="720" w:hanging="7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E13BC">
              <w:rPr>
                <w:rFonts w:ascii="Times New Roman" w:hAnsi="Times New Roman"/>
                <w:b/>
                <w:bCs/>
              </w:rPr>
              <w:t>Choice Focus study (30K/all20rounds)</w:t>
            </w:r>
          </w:p>
        </w:tc>
        <w:tc>
          <w:tcPr>
            <w:tcW w:w="869" w:type="dxa"/>
            <w:noWrap/>
            <w:vAlign w:val="center"/>
            <w:hideMark/>
          </w:tcPr>
          <w:p w14:paraId="2135D8EC"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0.49</w:t>
            </w:r>
          </w:p>
        </w:tc>
        <w:tc>
          <w:tcPr>
            <w:tcW w:w="869" w:type="dxa"/>
            <w:noWrap/>
            <w:vAlign w:val="center"/>
            <w:hideMark/>
          </w:tcPr>
          <w:p w14:paraId="29CF8CE2"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0.44</w:t>
            </w:r>
          </w:p>
        </w:tc>
        <w:tc>
          <w:tcPr>
            <w:tcW w:w="869" w:type="dxa"/>
            <w:noWrap/>
            <w:vAlign w:val="center"/>
            <w:hideMark/>
          </w:tcPr>
          <w:p w14:paraId="1A5C87F4"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0.41</w:t>
            </w:r>
          </w:p>
        </w:tc>
        <w:tc>
          <w:tcPr>
            <w:tcW w:w="869" w:type="dxa"/>
            <w:noWrap/>
            <w:vAlign w:val="center"/>
            <w:hideMark/>
          </w:tcPr>
          <w:p w14:paraId="6AD86AEA" w14:textId="77777777" w:rsidR="003565F7" w:rsidRPr="003E13BC" w:rsidRDefault="003565F7" w:rsidP="00601DE3">
            <w:pPr>
              <w:spacing w:line="480" w:lineRule="auto"/>
              <w:ind w:left="720" w:hanging="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E13BC">
              <w:rPr>
                <w:rFonts w:ascii="Times New Roman" w:hAnsi="Times New Roman"/>
              </w:rPr>
              <w:t>0.43</w:t>
            </w:r>
          </w:p>
        </w:tc>
      </w:tr>
      <w:tr w:rsidR="003565F7" w:rsidRPr="003E13BC" w14:paraId="2EE07FFB" w14:textId="77777777" w:rsidTr="00430316">
        <w:trPr>
          <w:trHeight w:val="283"/>
        </w:trPr>
        <w:tc>
          <w:tcPr>
            <w:cnfStyle w:val="001000000000" w:firstRow="0" w:lastRow="0" w:firstColumn="1" w:lastColumn="0" w:oddVBand="0" w:evenVBand="0" w:oddHBand="0" w:evenHBand="0" w:firstRowFirstColumn="0" w:firstRowLastColumn="0" w:lastRowFirstColumn="0" w:lastRowLastColumn="0"/>
            <w:tcW w:w="9073" w:type="dxa"/>
            <w:gridSpan w:val="6"/>
            <w:noWrap/>
            <w:vAlign w:val="center"/>
          </w:tcPr>
          <w:p w14:paraId="598146F0" w14:textId="77777777" w:rsidR="003565F7" w:rsidRPr="003E13BC" w:rsidRDefault="003565F7" w:rsidP="00601DE3">
            <w:pPr>
              <w:spacing w:line="480" w:lineRule="auto"/>
              <w:rPr>
                <w:rFonts w:ascii="Times New Roman" w:hAnsi="Times New Roman"/>
                <w:b w:val="0"/>
                <w:bCs w:val="0"/>
              </w:rPr>
            </w:pPr>
            <w:r w:rsidRPr="003E13BC">
              <w:rPr>
                <w:rFonts w:ascii="Times New Roman" w:hAnsi="Times New Roman"/>
                <w:b w:val="0"/>
                <w:bCs w:val="0"/>
                <w:i/>
              </w:rPr>
              <w:t xml:space="preserve">Note: </w:t>
            </w:r>
            <w:r w:rsidRPr="003E13BC">
              <w:rPr>
                <w:rFonts w:ascii="Calibri" w:hAnsi="Calibri" w:cs="Calibri"/>
                <w:b w:val="0"/>
                <w:bCs w:val="0"/>
                <w:i/>
              </w:rPr>
              <w:t>†</w:t>
            </w:r>
            <w:r w:rsidRPr="003E13BC">
              <w:rPr>
                <w:rFonts w:ascii="Times New Roman" w:hAnsi="Times New Roman"/>
                <w:b w:val="0"/>
                <w:bCs w:val="0"/>
                <w:i/>
              </w:rPr>
              <w:t>: &lt;.10, *: &lt;.05, **: &lt;.01, ***: &lt;.00</w:t>
            </w:r>
          </w:p>
          <w:p w14:paraId="4F8B5248" w14:textId="77777777" w:rsidR="003565F7" w:rsidRPr="003E13BC" w:rsidRDefault="003565F7" w:rsidP="00601DE3">
            <w:pPr>
              <w:spacing w:line="480" w:lineRule="auto"/>
              <w:ind w:left="720" w:hanging="720"/>
              <w:rPr>
                <w:rFonts w:ascii="Times New Roman" w:hAnsi="Times New Roman"/>
              </w:rPr>
            </w:pPr>
          </w:p>
        </w:tc>
      </w:tr>
    </w:tbl>
    <w:p w14:paraId="0C5D1832" w14:textId="6C231236" w:rsidR="003565F7" w:rsidRDefault="003565F7" w:rsidP="003565F7">
      <w:pPr>
        <w:spacing w:line="480" w:lineRule="auto"/>
        <w:rPr>
          <w:rFonts w:ascii="Times New Roman" w:hAnsi="Times New Roman"/>
          <w:iCs/>
        </w:rPr>
      </w:pPr>
      <w:r>
        <w:rPr>
          <w:rFonts w:ascii="Times New Roman" w:hAnsi="Times New Roman"/>
          <w:i/>
          <w:iCs/>
        </w:rPr>
        <w:br w:type="page"/>
      </w:r>
    </w:p>
    <w:p w14:paraId="40D71793" w14:textId="77777777" w:rsidR="001D77FB" w:rsidRDefault="001D77FB" w:rsidP="007F39CB">
      <w:pPr>
        <w:spacing w:line="480" w:lineRule="auto"/>
        <w:rPr>
          <w:rFonts w:ascii="Times New Roman" w:hAnsi="Times New Roman"/>
          <w:iCs/>
        </w:rPr>
      </w:pPr>
    </w:p>
    <w:p w14:paraId="28DCFA8D" w14:textId="77777777" w:rsidR="00C72BBC" w:rsidRDefault="00007FBE" w:rsidP="00C17D13">
      <w:pPr>
        <w:spacing w:line="480" w:lineRule="auto"/>
        <w:jc w:val="center"/>
        <w:rPr>
          <w:rFonts w:ascii="Times New Roman" w:hAnsi="Times New Roman"/>
          <w:i/>
        </w:rPr>
      </w:pPr>
      <w:r w:rsidRPr="002208A3">
        <w:rPr>
          <w:rFonts w:ascii="Times New Roman" w:hAnsi="Times New Roman"/>
          <w:i/>
        </w:rPr>
        <w:t xml:space="preserve">General </w:t>
      </w:r>
      <w:r w:rsidR="00B57999" w:rsidRPr="002208A3">
        <w:rPr>
          <w:rFonts w:ascii="Times New Roman" w:hAnsi="Times New Roman"/>
          <w:i/>
        </w:rPr>
        <w:t>Discussion</w:t>
      </w:r>
    </w:p>
    <w:p w14:paraId="4C242118" w14:textId="4C8C2ECF" w:rsidR="006D7F37" w:rsidRPr="00277236" w:rsidRDefault="006D7F37" w:rsidP="00045078">
      <w:pPr>
        <w:spacing w:line="480" w:lineRule="auto"/>
      </w:pPr>
      <w:r>
        <w:rPr>
          <w:rFonts w:ascii="Times New Roman" w:hAnsi="Times New Roman"/>
        </w:rPr>
        <w:tab/>
      </w:r>
      <w:r w:rsidR="00F872BF">
        <w:rPr>
          <w:rFonts w:ascii="Times New Roman" w:hAnsi="Times New Roman"/>
        </w:rPr>
        <w:t xml:space="preserve">Across six studies and three supplemental studies, we found that precommitment increases safety behavior regarding low-probability, large magnitude losses, strongly supporting H1. </w:t>
      </w:r>
      <w:r w:rsidR="00277236">
        <w:rPr>
          <w:rFonts w:ascii="Times New Roman" w:hAnsi="Times New Roman"/>
        </w:rPr>
        <w:t>We found evidence that this happens because precommitment increases planning and a focus on outcomes, as seen in Study 1, Study 5, and Study S3, supporting H2. Fu</w:t>
      </w:r>
      <w:r w:rsidR="00032E8E">
        <w:rPr>
          <w:rFonts w:ascii="Times New Roman" w:hAnsi="Times New Roman"/>
        </w:rPr>
        <w:t>r</w:t>
      </w:r>
      <w:r w:rsidR="00277236">
        <w:rPr>
          <w:rFonts w:ascii="Times New Roman" w:hAnsi="Times New Roman"/>
        </w:rPr>
        <w:t xml:space="preserve">thermore, we found evidence (especially in Studies 2 and 3) that precommitment is </w:t>
      </w:r>
      <w:r w:rsidR="00277236">
        <w:rPr>
          <w:rFonts w:ascii="Times New Roman" w:hAnsi="Times New Roman"/>
          <w:i/>
          <w:iCs/>
        </w:rPr>
        <w:t xml:space="preserve">not </w:t>
      </w:r>
      <w:r w:rsidR="00277236" w:rsidRPr="00277236">
        <w:rPr>
          <w:rFonts w:ascii="Times New Roman" w:hAnsi="Times New Roman"/>
        </w:rPr>
        <w:t>driven by</w:t>
      </w:r>
      <w:r w:rsidR="00277236">
        <w:rPr>
          <w:rFonts w:ascii="Times New Roman" w:hAnsi="Times New Roman"/>
        </w:rPr>
        <w:t xml:space="preserve"> an increase in subjective probability, suggesting that broad bracketing of choices and broad bracketing of probabilities are distinct and additive processes. Finally, we tested precommitment in the context of a stochastic “interdependent security” social dilemma, and found that while binding precommitment increased cooperation rates, non-binding precommitment did not. </w:t>
      </w:r>
    </w:p>
    <w:p w14:paraId="0653D706" w14:textId="1FEB38D2" w:rsidR="001A2ADE" w:rsidRDefault="001A2ADE" w:rsidP="001A2ADE">
      <w:pPr>
        <w:spacing w:line="480" w:lineRule="auto"/>
        <w:ind w:firstLine="720"/>
        <w:rPr>
          <w:rFonts w:ascii="Times New Roman" w:hAnsi="Times New Roman"/>
        </w:rPr>
      </w:pPr>
      <w:r>
        <w:rPr>
          <w:rFonts w:ascii="Times New Roman" w:hAnsi="Times New Roman"/>
        </w:rPr>
        <w:t xml:space="preserve">The present research makes several contributions to theory and practice. First, it introduces non-binding precommitment as a novel nudge for use in repeated decisions about low-probability, large-magnitude losses. This is both practically useful as a new tool in the toolkit for choice architects, and also makes a conceptual contribution to the default literature as a form of adaptive, self-set default. Second, the present research finds that broad bracketing of choices &amp; outcomes, and broad bracketing of probabilities are distinct decision processes. These two flavors of choice bracketing have both been previously studied in the literature, but not empirically compared within the same framework. The finding that they are distinct and complementary, with additive effects (Study 2) has implications for the theory and practice of choice bracketing. Third, this </w:t>
      </w:r>
      <w:r>
        <w:rPr>
          <w:rFonts w:ascii="Times New Roman" w:hAnsi="Times New Roman"/>
        </w:rPr>
        <w:lastRenderedPageBreak/>
        <w:t xml:space="preserve">research is </w:t>
      </w:r>
      <w:r w:rsidR="00C40E99">
        <w:rPr>
          <w:rFonts w:ascii="Times New Roman" w:hAnsi="Times New Roman"/>
        </w:rPr>
        <w:t>the</w:t>
      </w:r>
      <w:r>
        <w:rPr>
          <w:rFonts w:ascii="Times New Roman" w:hAnsi="Times New Roman"/>
        </w:rPr>
        <w:t xml:space="preserve"> first to examine precommitment in social dilemmas, and reveals a critical difference between binding versus non-binding precommitment in this context. </w:t>
      </w:r>
    </w:p>
    <w:p w14:paraId="0D17596E" w14:textId="0DCCDF30" w:rsidR="00F07F90" w:rsidRDefault="000A327C" w:rsidP="00045078">
      <w:pPr>
        <w:spacing w:line="480" w:lineRule="auto"/>
        <w:rPr>
          <w:rFonts w:ascii="Times New Roman" w:hAnsi="Times New Roman"/>
        </w:rPr>
      </w:pPr>
      <w:r>
        <w:rPr>
          <w:rFonts w:ascii="Times New Roman" w:hAnsi="Times New Roman"/>
        </w:rPr>
        <w:tab/>
      </w:r>
      <w:r w:rsidR="00585B74">
        <w:rPr>
          <w:rFonts w:ascii="Times New Roman" w:hAnsi="Times New Roman"/>
        </w:rPr>
        <w:t>W</w:t>
      </w:r>
      <w:r w:rsidR="005D0469">
        <w:rPr>
          <w:rFonts w:ascii="Times New Roman" w:hAnsi="Times New Roman"/>
        </w:rPr>
        <w:t>e found that non-binding</w:t>
      </w:r>
      <w:r>
        <w:rPr>
          <w:rFonts w:ascii="Times New Roman" w:hAnsi="Times New Roman"/>
        </w:rPr>
        <w:t xml:space="preserve"> precommitment</w:t>
      </w:r>
      <w:r w:rsidR="005D0469">
        <w:rPr>
          <w:rFonts w:ascii="Times New Roman" w:hAnsi="Times New Roman"/>
        </w:rPr>
        <w:t xml:space="preserve"> </w:t>
      </w:r>
      <w:r w:rsidR="00585B74">
        <w:rPr>
          <w:rFonts w:ascii="Times New Roman" w:hAnsi="Times New Roman"/>
        </w:rPr>
        <w:t xml:space="preserve">is </w:t>
      </w:r>
      <w:r w:rsidR="00585B74" w:rsidRPr="00585B74">
        <w:rPr>
          <w:rFonts w:ascii="Times New Roman" w:hAnsi="Times New Roman"/>
          <w:i/>
          <w:iCs/>
        </w:rPr>
        <w:t>not</w:t>
      </w:r>
      <w:r w:rsidR="00585B74">
        <w:rPr>
          <w:rFonts w:ascii="Times New Roman" w:hAnsi="Times New Roman"/>
        </w:rPr>
        <w:t xml:space="preserve"> effective </w:t>
      </w:r>
      <w:r w:rsidR="005D0469">
        <w:rPr>
          <w:rFonts w:ascii="Times New Roman" w:hAnsi="Times New Roman"/>
        </w:rPr>
        <w:t>in</w:t>
      </w:r>
      <w:r w:rsidR="00585B74">
        <w:rPr>
          <w:rFonts w:ascii="Times New Roman" w:hAnsi="Times New Roman"/>
        </w:rPr>
        <w:t xml:space="preserve"> anonymous,</w:t>
      </w:r>
      <w:r w:rsidR="005D0469">
        <w:rPr>
          <w:rFonts w:ascii="Times New Roman" w:hAnsi="Times New Roman"/>
        </w:rPr>
        <w:t xml:space="preserve"> interdependent situations, and</w:t>
      </w:r>
      <w:r>
        <w:rPr>
          <w:rFonts w:ascii="Times New Roman" w:hAnsi="Times New Roman"/>
        </w:rPr>
        <w:t xml:space="preserve"> in real life people can </w:t>
      </w:r>
      <w:r w:rsidR="005D0469">
        <w:rPr>
          <w:rFonts w:ascii="Times New Roman" w:hAnsi="Times New Roman"/>
        </w:rPr>
        <w:t xml:space="preserve">easily </w:t>
      </w:r>
      <w:r>
        <w:rPr>
          <w:rFonts w:ascii="Times New Roman" w:hAnsi="Times New Roman"/>
        </w:rPr>
        <w:t xml:space="preserve">renege on </w:t>
      </w:r>
      <w:r w:rsidR="005D0469">
        <w:rPr>
          <w:rFonts w:ascii="Times New Roman" w:hAnsi="Times New Roman"/>
        </w:rPr>
        <w:t xml:space="preserve">interdependent </w:t>
      </w:r>
      <w:r>
        <w:rPr>
          <w:rFonts w:ascii="Times New Roman" w:hAnsi="Times New Roman"/>
        </w:rPr>
        <w:t>commitments. While this may often result in lower investment rates</w:t>
      </w:r>
      <w:r w:rsidR="005D0469">
        <w:rPr>
          <w:rFonts w:ascii="Times New Roman" w:hAnsi="Times New Roman"/>
        </w:rPr>
        <w:t xml:space="preserve"> in IDS situations</w:t>
      </w:r>
      <w:r>
        <w:rPr>
          <w:rFonts w:ascii="Times New Roman" w:hAnsi="Times New Roman"/>
        </w:rPr>
        <w:t xml:space="preserve">, there are reasons to believe that precommitment could still be </w:t>
      </w:r>
      <w:r w:rsidR="005D0469">
        <w:rPr>
          <w:rFonts w:ascii="Times New Roman" w:hAnsi="Times New Roman"/>
        </w:rPr>
        <w:t xml:space="preserve">an </w:t>
      </w:r>
      <w:r>
        <w:rPr>
          <w:rFonts w:ascii="Times New Roman" w:hAnsi="Times New Roman"/>
        </w:rPr>
        <w:t>effective</w:t>
      </w:r>
      <w:r w:rsidR="005D0469">
        <w:rPr>
          <w:rFonts w:ascii="Times New Roman" w:hAnsi="Times New Roman"/>
        </w:rPr>
        <w:t xml:space="preserve"> tool</w:t>
      </w:r>
      <w:r w:rsidR="001F7AEC">
        <w:rPr>
          <w:rFonts w:ascii="Times New Roman" w:hAnsi="Times New Roman"/>
        </w:rPr>
        <w:t>, perhaps through public declarations and non-anonymous interactions between interdependent people</w:t>
      </w:r>
      <w:r>
        <w:rPr>
          <w:rFonts w:ascii="Times New Roman" w:hAnsi="Times New Roman"/>
        </w:rPr>
        <w:t xml:space="preserve">. </w:t>
      </w:r>
      <w:r w:rsidR="001F7AEC">
        <w:rPr>
          <w:rFonts w:ascii="Times New Roman" w:hAnsi="Times New Roman"/>
        </w:rPr>
        <w:t>In other cases</w:t>
      </w:r>
      <w:r w:rsidR="002D5C1D">
        <w:rPr>
          <w:rFonts w:ascii="Times New Roman" w:hAnsi="Times New Roman"/>
        </w:rPr>
        <w:t>,</w:t>
      </w:r>
      <w:r>
        <w:rPr>
          <w:rFonts w:ascii="Times New Roman" w:hAnsi="Times New Roman"/>
        </w:rPr>
        <w:t xml:space="preserve"> legal contracts and social pressure </w:t>
      </w:r>
      <w:r w:rsidR="00585B74">
        <w:rPr>
          <w:rFonts w:ascii="Times New Roman" w:hAnsi="Times New Roman"/>
        </w:rPr>
        <w:t>may be needed</w:t>
      </w:r>
      <w:r>
        <w:rPr>
          <w:rFonts w:ascii="Times New Roman" w:hAnsi="Times New Roman"/>
        </w:rPr>
        <w:t xml:space="preserve"> enforce commitments in many </w:t>
      </w:r>
      <w:r w:rsidR="00585B74">
        <w:rPr>
          <w:rFonts w:ascii="Times New Roman" w:hAnsi="Times New Roman"/>
        </w:rPr>
        <w:t xml:space="preserve">social dilemma </w:t>
      </w:r>
      <w:r>
        <w:rPr>
          <w:rFonts w:ascii="Times New Roman" w:hAnsi="Times New Roman"/>
        </w:rPr>
        <w:t xml:space="preserve">situations. </w:t>
      </w:r>
    </w:p>
    <w:p w14:paraId="5E2E0632" w14:textId="37E80113" w:rsidR="000C37D2" w:rsidRDefault="00F05AC0" w:rsidP="000C37D2">
      <w:pPr>
        <w:spacing w:line="480" w:lineRule="auto"/>
        <w:rPr>
          <w:rFonts w:ascii="Times New Roman" w:hAnsi="Times New Roman"/>
          <w:b/>
          <w:bCs/>
        </w:rPr>
      </w:pPr>
      <w:r>
        <w:rPr>
          <w:rFonts w:ascii="Times New Roman" w:hAnsi="Times New Roman"/>
        </w:rPr>
        <w:tab/>
        <w:t xml:space="preserve">The current research has many limitations. One is that we studied </w:t>
      </w:r>
      <w:r w:rsidR="008E7F89">
        <w:rPr>
          <w:rFonts w:ascii="Times New Roman" w:hAnsi="Times New Roman"/>
        </w:rPr>
        <w:t xml:space="preserve">precommitment in </w:t>
      </w:r>
      <w:r>
        <w:rPr>
          <w:rFonts w:ascii="Times New Roman" w:hAnsi="Times New Roman"/>
        </w:rPr>
        <w:t>a fairly narrow and sterile decision context</w:t>
      </w:r>
      <w:r w:rsidR="008E7F89">
        <w:rPr>
          <w:rFonts w:ascii="Times New Roman" w:hAnsi="Times New Roman"/>
        </w:rPr>
        <w:t>.</w:t>
      </w:r>
      <w:r>
        <w:rPr>
          <w:rFonts w:ascii="Times New Roman" w:hAnsi="Times New Roman"/>
        </w:rPr>
        <w:t xml:space="preserve"> </w:t>
      </w:r>
      <w:r w:rsidR="008E7F89">
        <w:rPr>
          <w:rFonts w:ascii="Times New Roman" w:hAnsi="Times New Roman"/>
        </w:rPr>
        <w:t>W</w:t>
      </w:r>
      <w:r>
        <w:rPr>
          <w:rFonts w:ascii="Times New Roman" w:hAnsi="Times New Roman"/>
        </w:rPr>
        <w:t>hile it is tempting to generalize</w:t>
      </w:r>
      <w:r w:rsidR="008241E0">
        <w:rPr>
          <w:rFonts w:ascii="Times New Roman" w:hAnsi="Times New Roman"/>
        </w:rPr>
        <w:t xml:space="preserve"> and directly apply</w:t>
      </w:r>
      <w:r>
        <w:rPr>
          <w:rFonts w:ascii="Times New Roman" w:hAnsi="Times New Roman"/>
        </w:rPr>
        <w:t xml:space="preserve"> our results to real-world decisions of interest (such as decisions about protecting against COVID-19), there are many important differences between contexts, and it is likely that our controlled, experimental context overestimates the strength of the precommitment effect. Therefore, while the </w:t>
      </w:r>
      <w:r w:rsidR="00300510">
        <w:rPr>
          <w:rFonts w:ascii="Times New Roman" w:hAnsi="Times New Roman"/>
        </w:rPr>
        <w:t>results</w:t>
      </w:r>
      <w:r>
        <w:rPr>
          <w:rFonts w:ascii="Times New Roman" w:hAnsi="Times New Roman"/>
        </w:rPr>
        <w:t xml:space="preserve"> </w:t>
      </w:r>
      <w:r w:rsidR="00300510">
        <w:rPr>
          <w:rFonts w:ascii="Times New Roman" w:hAnsi="Times New Roman"/>
        </w:rPr>
        <w:t>presented here suggest that</w:t>
      </w:r>
      <w:r>
        <w:rPr>
          <w:rFonts w:ascii="Times New Roman" w:hAnsi="Times New Roman"/>
        </w:rPr>
        <w:t xml:space="preserve"> precommitment is a promising nudge, it should be tested in other, real-world context</w:t>
      </w:r>
      <w:r w:rsidR="006B383D">
        <w:rPr>
          <w:rFonts w:ascii="Times New Roman" w:hAnsi="Times New Roman"/>
        </w:rPr>
        <w:t xml:space="preserve">s and samples. </w:t>
      </w:r>
      <w:r w:rsidR="008E7F89">
        <w:rPr>
          <w:rFonts w:ascii="Times New Roman" w:hAnsi="Times New Roman"/>
        </w:rPr>
        <w:t>A second limitation of the current research is theoretic. While we have focused on establishing the basic effect and distinguishing between two decision processes (supporting the one and ruling out the other), there are many “loose ends” that remain as topics for future research. For example, why does planning and a focus on cumulative outcomes lead to safer choices? It seems intuitive</w:t>
      </w:r>
      <w:r w:rsidR="0064470D">
        <w:rPr>
          <w:rFonts w:ascii="Times New Roman" w:hAnsi="Times New Roman"/>
        </w:rPr>
        <w:t xml:space="preserve"> enough</w:t>
      </w:r>
      <w:r w:rsidR="008E7F89">
        <w:rPr>
          <w:rFonts w:ascii="Times New Roman" w:hAnsi="Times New Roman"/>
        </w:rPr>
        <w:t xml:space="preserve">, but looking into the details of supplemental studies </w:t>
      </w:r>
      <w:r w:rsidR="0064470D">
        <w:rPr>
          <w:rFonts w:ascii="Times New Roman" w:hAnsi="Times New Roman"/>
        </w:rPr>
        <w:t xml:space="preserve">S1-S3 reveal important complexities. We suspect that when people are planning and focused on cumulative outcomes, </w:t>
      </w:r>
      <w:r w:rsidR="001F7AEC">
        <w:rPr>
          <w:rFonts w:ascii="Times New Roman" w:hAnsi="Times New Roman"/>
        </w:rPr>
        <w:t>they</w:t>
      </w:r>
      <w:r w:rsidR="0064470D">
        <w:rPr>
          <w:rFonts w:ascii="Times New Roman" w:hAnsi="Times New Roman"/>
        </w:rPr>
        <w:t xml:space="preserve"> are motivated both to maximize </w:t>
      </w:r>
      <w:r w:rsidR="0064470D">
        <w:rPr>
          <w:rFonts w:ascii="Times New Roman" w:hAnsi="Times New Roman"/>
        </w:rPr>
        <w:lastRenderedPageBreak/>
        <w:t xml:space="preserve">their expected value (EV), and to safely satisfice at some target level. In some contexts, such as when safe behavior is EV maximizing, these lead in the same direction. In other cases, when risky behavior is EV maximizing, these motivations are in opposition, and may change the effect of precommitment accordingly. Another loose end concerns the divergence between binding and non-binding precommitment in social dilemmas. How and why does non-binding precommitment unravel? And how might this be avoided? </w:t>
      </w:r>
      <w:r w:rsidR="000C37D2">
        <w:rPr>
          <w:rFonts w:ascii="Times New Roman" w:hAnsi="Times New Roman"/>
        </w:rPr>
        <w:t>Perhaps we decision science researchers should commit to answering these important questions</w:t>
      </w:r>
      <w:r w:rsidR="004176BD">
        <w:rPr>
          <w:rFonts w:ascii="Times New Roman" w:hAnsi="Times New Roman"/>
        </w:rPr>
        <w:t xml:space="preserve"> in future research. </w:t>
      </w:r>
    </w:p>
    <w:p w14:paraId="20E3E939" w14:textId="6DFFFD9D" w:rsidR="00E25C6C" w:rsidRDefault="00E25C6C" w:rsidP="000667FB">
      <w:pPr>
        <w:spacing w:line="480" w:lineRule="auto"/>
        <w:rPr>
          <w:rFonts w:ascii="Times New Roman" w:hAnsi="Times New Roman"/>
          <w:b/>
          <w:bCs/>
        </w:rPr>
      </w:pPr>
      <w:r>
        <w:rPr>
          <w:rFonts w:ascii="Times New Roman" w:hAnsi="Times New Roman"/>
          <w:b/>
          <w:bCs/>
        </w:rPr>
        <w:br w:type="page"/>
      </w:r>
    </w:p>
    <w:p w14:paraId="20A03DAE" w14:textId="0E36EA95" w:rsidR="001B5EC3" w:rsidRPr="00032E8E" w:rsidRDefault="009A04F1" w:rsidP="00032E8E">
      <w:pPr>
        <w:spacing w:line="480" w:lineRule="auto"/>
        <w:jc w:val="center"/>
        <w:rPr>
          <w:rFonts w:ascii="Times New Roman" w:hAnsi="Times New Roman"/>
          <w:b/>
          <w:bCs/>
        </w:rPr>
      </w:pPr>
      <w:r w:rsidRPr="00032E8E">
        <w:rPr>
          <w:rFonts w:ascii="Times New Roman" w:hAnsi="Times New Roman"/>
          <w:b/>
          <w:bCs/>
        </w:rPr>
        <w:lastRenderedPageBreak/>
        <w:t>References</w:t>
      </w:r>
    </w:p>
    <w:p w14:paraId="1A5C809C" w14:textId="77777777" w:rsidR="00A505D4" w:rsidRPr="00032E8E" w:rsidRDefault="00F53CB7"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fldChar w:fldCharType="begin"/>
      </w:r>
      <w:r w:rsidRPr="00032E8E">
        <w:rPr>
          <w:rFonts w:ascii="Times New Roman" w:hAnsi="Times New Roman" w:cs="Times New Roman"/>
          <w:lang w:val="fr-FR"/>
        </w:rPr>
        <w:instrText xml:space="preserve"> ADDIN EN.REFLIST </w:instrText>
      </w:r>
      <w:r w:rsidRPr="00032E8E">
        <w:rPr>
          <w:rFonts w:ascii="Times New Roman" w:hAnsi="Times New Roman" w:cs="Times New Roman"/>
        </w:rPr>
        <w:fldChar w:fldCharType="separate"/>
      </w:r>
      <w:r w:rsidR="00A505D4" w:rsidRPr="00032E8E">
        <w:rPr>
          <w:rFonts w:ascii="Times New Roman" w:hAnsi="Times New Roman" w:cs="Times New Roman"/>
        </w:rPr>
        <w:t xml:space="preserve">Aerts, J. C., &amp; Botzen, W. W. (2011). Climate change impacts on pricing long-term flood insurance: A comprehensive study for the Netherlands. </w:t>
      </w:r>
      <w:r w:rsidR="00A505D4" w:rsidRPr="00032E8E">
        <w:rPr>
          <w:rFonts w:ascii="Times New Roman" w:hAnsi="Times New Roman" w:cs="Times New Roman"/>
          <w:i/>
        </w:rPr>
        <w:t>Global Environmental Change, 21</w:t>
      </w:r>
      <w:r w:rsidR="00A505D4" w:rsidRPr="00032E8E">
        <w:rPr>
          <w:rFonts w:ascii="Times New Roman" w:hAnsi="Times New Roman" w:cs="Times New Roman"/>
        </w:rPr>
        <w:t xml:space="preserve">(3), 1045-1060. </w:t>
      </w:r>
    </w:p>
    <w:p w14:paraId="28FD11F6"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Benartzi, S., &amp; Thaler, R. H. (1995). Myopic loss aversion and the equity premium puzzle. </w:t>
      </w:r>
      <w:r w:rsidRPr="00032E8E">
        <w:rPr>
          <w:rFonts w:ascii="Times New Roman" w:hAnsi="Times New Roman" w:cs="Times New Roman"/>
          <w:i/>
        </w:rPr>
        <w:t>The quarterly journal of Economics, 110</w:t>
      </w:r>
      <w:r w:rsidRPr="00032E8E">
        <w:rPr>
          <w:rFonts w:ascii="Times New Roman" w:hAnsi="Times New Roman" w:cs="Times New Roman"/>
        </w:rPr>
        <w:t xml:space="preserve">(1), 73-92. </w:t>
      </w:r>
    </w:p>
    <w:p w14:paraId="0C1E2A03"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Chaudhry, S., Hand, M., &amp; Kunreuther, H. (2020). Broad bracketing for low probability events. </w:t>
      </w:r>
      <w:r w:rsidRPr="00032E8E">
        <w:rPr>
          <w:rFonts w:ascii="Times New Roman" w:hAnsi="Times New Roman" w:cs="Times New Roman"/>
          <w:i/>
        </w:rPr>
        <w:t>NBER Working Paper</w:t>
      </w:r>
      <w:r w:rsidRPr="00032E8E">
        <w:rPr>
          <w:rFonts w:ascii="Times New Roman" w:hAnsi="Times New Roman" w:cs="Times New Roman"/>
        </w:rPr>
        <w:t xml:space="preserve">(w27319). </w:t>
      </w:r>
    </w:p>
    <w:p w14:paraId="6C59A249"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Fox, C. R., Ratner, R. K., &amp; Lieb, D. S. (2005). How subjective grouping of options influences choice and allocation: diversification bias and the phenomenon of partition dependence. </w:t>
      </w:r>
      <w:r w:rsidRPr="00032E8E">
        <w:rPr>
          <w:rFonts w:ascii="Times New Roman" w:hAnsi="Times New Roman" w:cs="Times New Roman"/>
          <w:i/>
        </w:rPr>
        <w:t>Journal of Experimental Psychology: General, 134</w:t>
      </w:r>
      <w:r w:rsidRPr="00032E8E">
        <w:rPr>
          <w:rFonts w:ascii="Times New Roman" w:hAnsi="Times New Roman" w:cs="Times New Roman"/>
        </w:rPr>
        <w:t xml:space="preserve">(4), 538. </w:t>
      </w:r>
    </w:p>
    <w:p w14:paraId="6CA9C054"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Furlong, E. E., &amp; Opfer, J. E. (2008). Cognitive Constraints on How Economic Rewards Affect Cooperation. </w:t>
      </w:r>
      <w:r w:rsidRPr="00032E8E">
        <w:rPr>
          <w:rFonts w:ascii="Times New Roman" w:hAnsi="Times New Roman" w:cs="Times New Roman"/>
          <w:i/>
        </w:rPr>
        <w:t>Psychological Science, 20</w:t>
      </w:r>
      <w:r w:rsidRPr="00032E8E">
        <w:rPr>
          <w:rFonts w:ascii="Times New Roman" w:hAnsi="Times New Roman" w:cs="Times New Roman"/>
        </w:rPr>
        <w:t xml:space="preserve">(1), 11-16. </w:t>
      </w:r>
    </w:p>
    <w:p w14:paraId="2163FDC0"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Goldstein, D. G., Johnson, E. J., Herrmann, A., &amp; Heitmann, M. (2008). Nudge your customers toward better choices. </w:t>
      </w:r>
      <w:r w:rsidRPr="00032E8E">
        <w:rPr>
          <w:rFonts w:ascii="Times New Roman" w:hAnsi="Times New Roman" w:cs="Times New Roman"/>
          <w:i/>
        </w:rPr>
        <w:t>Harvard Business Review, 86</w:t>
      </w:r>
      <w:r w:rsidRPr="00032E8E">
        <w:rPr>
          <w:rFonts w:ascii="Times New Roman" w:hAnsi="Times New Roman" w:cs="Times New Roman"/>
        </w:rPr>
        <w:t xml:space="preserve">(12), 99-105. </w:t>
      </w:r>
    </w:p>
    <w:p w14:paraId="545EC7A1"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Gong, M., Baron, J., &amp; Kunreuther, H. C. (2009). Group cooperation under uncertainty. </w:t>
      </w:r>
      <w:r w:rsidRPr="00032E8E">
        <w:rPr>
          <w:rFonts w:ascii="Times New Roman" w:hAnsi="Times New Roman" w:cs="Times New Roman"/>
          <w:i/>
        </w:rPr>
        <w:t>Journal of Risk &amp; Uncertainty, 39</w:t>
      </w:r>
      <w:r w:rsidRPr="00032E8E">
        <w:rPr>
          <w:rFonts w:ascii="Times New Roman" w:hAnsi="Times New Roman" w:cs="Times New Roman"/>
        </w:rPr>
        <w:t>, 251-270. doi:10.1007/s11166-009-9080-2</w:t>
      </w:r>
    </w:p>
    <w:p w14:paraId="6213CC95"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Hardin, A. M., &amp; Looney, C. A. (2012). Myopic loss aversion: Demystifying the key factors influencing decision problem framing. </w:t>
      </w:r>
      <w:r w:rsidRPr="00032E8E">
        <w:rPr>
          <w:rFonts w:ascii="Times New Roman" w:hAnsi="Times New Roman" w:cs="Times New Roman"/>
          <w:i/>
        </w:rPr>
        <w:t>Organizational Behavior &amp; Human Decision Processes, 117</w:t>
      </w:r>
      <w:r w:rsidRPr="00032E8E">
        <w:rPr>
          <w:rFonts w:ascii="Times New Roman" w:hAnsi="Times New Roman" w:cs="Times New Roman"/>
        </w:rPr>
        <w:t xml:space="preserve">, 311-331. </w:t>
      </w:r>
    </w:p>
    <w:p w14:paraId="07C4D34F"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Hardisty, D. J., &amp; Pfeffer, J. (2016). Intertemporal Uncertainty Avoidance: When the Future Is Uncertain, People Prefer the Present, and When the Present Is Uncertain, People Prefer the Future. </w:t>
      </w:r>
      <w:r w:rsidRPr="00032E8E">
        <w:rPr>
          <w:rFonts w:ascii="Times New Roman" w:hAnsi="Times New Roman" w:cs="Times New Roman"/>
          <w:i/>
        </w:rPr>
        <w:t>Management Science</w:t>
      </w:r>
      <w:r w:rsidRPr="00032E8E">
        <w:rPr>
          <w:rFonts w:ascii="Times New Roman" w:hAnsi="Times New Roman" w:cs="Times New Roman"/>
        </w:rPr>
        <w:t xml:space="preserve">. </w:t>
      </w:r>
    </w:p>
    <w:p w14:paraId="6C82ABC3"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lastRenderedPageBreak/>
        <w:t xml:space="preserve">Hardisty, D. J., &amp; Weber, E. U. (2020). Impatience and Savoring vs. Dread: Asymmetries in Anticipation Explain Consumer Time Preferences for Positive vs. Negative Events. </w:t>
      </w:r>
      <w:r w:rsidRPr="00032E8E">
        <w:rPr>
          <w:rFonts w:ascii="Times New Roman" w:hAnsi="Times New Roman" w:cs="Times New Roman"/>
          <w:i/>
        </w:rPr>
        <w:t>Journal of Consumer Psychology</w:t>
      </w:r>
      <w:r w:rsidRPr="00032E8E">
        <w:rPr>
          <w:rFonts w:ascii="Times New Roman" w:hAnsi="Times New Roman" w:cs="Times New Roman"/>
        </w:rPr>
        <w:t xml:space="preserve">. </w:t>
      </w:r>
    </w:p>
    <w:p w14:paraId="65A38750"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Heal, G., &amp; Kunreuther, H. C. (2005). IDS Models of Airline Security. </w:t>
      </w:r>
      <w:r w:rsidRPr="00032E8E">
        <w:rPr>
          <w:rFonts w:ascii="Times New Roman" w:hAnsi="Times New Roman" w:cs="Times New Roman"/>
          <w:i/>
        </w:rPr>
        <w:t>Journal of Conflict Resolution, 49</w:t>
      </w:r>
      <w:r w:rsidRPr="00032E8E">
        <w:rPr>
          <w:rFonts w:ascii="Times New Roman" w:hAnsi="Times New Roman" w:cs="Times New Roman"/>
        </w:rPr>
        <w:t>(2), 201-217. doi:10.1177/0022002704272833</w:t>
      </w:r>
    </w:p>
    <w:p w14:paraId="4C20A953"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Hertwig, R., &amp; Erev, I. (2009). The description–experience gap in risky choice. </w:t>
      </w:r>
      <w:r w:rsidRPr="00032E8E">
        <w:rPr>
          <w:rFonts w:ascii="Times New Roman" w:hAnsi="Times New Roman" w:cs="Times New Roman"/>
          <w:i/>
        </w:rPr>
        <w:t>Trends in cognitive sciences, 13</w:t>
      </w:r>
      <w:r w:rsidRPr="00032E8E">
        <w:rPr>
          <w:rFonts w:ascii="Times New Roman" w:hAnsi="Times New Roman" w:cs="Times New Roman"/>
        </w:rPr>
        <w:t xml:space="preserve">(12), 517-523. </w:t>
      </w:r>
    </w:p>
    <w:p w14:paraId="3011DBE2"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Humphreys, A., &amp; Wang, R. J.-H. (2018). Automated text analysis for consumer research. </w:t>
      </w:r>
      <w:r w:rsidRPr="00032E8E">
        <w:rPr>
          <w:rFonts w:ascii="Times New Roman" w:hAnsi="Times New Roman" w:cs="Times New Roman"/>
          <w:i/>
        </w:rPr>
        <w:t>Journal of Consumer Research, 44</w:t>
      </w:r>
      <w:r w:rsidRPr="00032E8E">
        <w:rPr>
          <w:rFonts w:ascii="Times New Roman" w:hAnsi="Times New Roman" w:cs="Times New Roman"/>
        </w:rPr>
        <w:t xml:space="preserve">(6), 1274-1306. </w:t>
      </w:r>
    </w:p>
    <w:p w14:paraId="6E2DED22"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Kahneman, D., &amp; Tversky, A. (1979). Prospect Theory: An Analysis of Decision Under Risk. </w:t>
      </w:r>
      <w:r w:rsidRPr="00032E8E">
        <w:rPr>
          <w:rFonts w:ascii="Times New Roman" w:hAnsi="Times New Roman" w:cs="Times New Roman"/>
          <w:i/>
        </w:rPr>
        <w:t>Econometrica, 47</w:t>
      </w:r>
      <w:r w:rsidRPr="00032E8E">
        <w:rPr>
          <w:rFonts w:ascii="Times New Roman" w:hAnsi="Times New Roman" w:cs="Times New Roman"/>
        </w:rPr>
        <w:t xml:space="preserve">(2), 263-292. </w:t>
      </w:r>
    </w:p>
    <w:p w14:paraId="5DCB60A4"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Kunreuther, H. C., Silvasi, G., Bradlow, E. T., &amp; Small, D. (2009). Bayesian analysis of deterministic and stochastic prisoner's dilemma games. </w:t>
      </w:r>
      <w:r w:rsidRPr="00032E8E">
        <w:rPr>
          <w:rFonts w:ascii="Times New Roman" w:hAnsi="Times New Roman" w:cs="Times New Roman"/>
          <w:i/>
        </w:rPr>
        <w:t>Judgment and Decision Making, 4</w:t>
      </w:r>
      <w:r w:rsidRPr="00032E8E">
        <w:rPr>
          <w:rFonts w:ascii="Times New Roman" w:hAnsi="Times New Roman" w:cs="Times New Roman"/>
        </w:rPr>
        <w:t xml:space="preserve">(5), 363-384. </w:t>
      </w:r>
    </w:p>
    <w:p w14:paraId="1083A3F6"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Lipshitz, R., &amp; Strauss, O. (1997). Coping with uncertainty: A naturalistic decision-making analysis. </w:t>
      </w:r>
      <w:r w:rsidRPr="00032E8E">
        <w:rPr>
          <w:rFonts w:ascii="Times New Roman" w:hAnsi="Times New Roman" w:cs="Times New Roman"/>
          <w:i/>
        </w:rPr>
        <w:t>Organizational behavior and human decision processes, 69</w:t>
      </w:r>
      <w:r w:rsidRPr="00032E8E">
        <w:rPr>
          <w:rFonts w:ascii="Times New Roman" w:hAnsi="Times New Roman" w:cs="Times New Roman"/>
        </w:rPr>
        <w:t xml:space="preserve">(2), 149-163. </w:t>
      </w:r>
    </w:p>
    <w:p w14:paraId="354D35A0"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Liu, Y., Heath, T. B., &amp; Onculer, A. (2020). The Future Ambiguity Effect: How Narrow Payoff Ranges Increase Future Payoff Appeal. </w:t>
      </w:r>
      <w:r w:rsidRPr="00032E8E">
        <w:rPr>
          <w:rFonts w:ascii="Times New Roman" w:hAnsi="Times New Roman" w:cs="Times New Roman"/>
          <w:i/>
        </w:rPr>
        <w:t>Management Science</w:t>
      </w:r>
      <w:r w:rsidRPr="00032E8E">
        <w:rPr>
          <w:rFonts w:ascii="Times New Roman" w:hAnsi="Times New Roman" w:cs="Times New Roman"/>
        </w:rPr>
        <w:t xml:space="preserve">. </w:t>
      </w:r>
    </w:p>
    <w:p w14:paraId="4FC46605"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Molouki, S., Hardisty, D. J., &amp; Caruso, E. M. (2019). The sign effect in past and future discounting. </w:t>
      </w:r>
      <w:r w:rsidRPr="00032E8E">
        <w:rPr>
          <w:rFonts w:ascii="Times New Roman" w:hAnsi="Times New Roman" w:cs="Times New Roman"/>
          <w:i/>
        </w:rPr>
        <w:t>Psychological science, 30</w:t>
      </w:r>
      <w:r w:rsidRPr="00032E8E">
        <w:rPr>
          <w:rFonts w:ascii="Times New Roman" w:hAnsi="Times New Roman" w:cs="Times New Roman"/>
        </w:rPr>
        <w:t xml:space="preserve">(12), 1674-1695. </w:t>
      </w:r>
    </w:p>
    <w:p w14:paraId="4DF7F8F0"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lastRenderedPageBreak/>
        <w:t xml:space="preserve">Morrin, M., Inman, J. J., Broniarczyk, S. M., Nenkov, G. Y., &amp; Reuter, J. (2012). Investing for retirement: The moderating effect of fund assortment size on the 1/n heuristic. </w:t>
      </w:r>
      <w:r w:rsidRPr="00032E8E">
        <w:rPr>
          <w:rFonts w:ascii="Times New Roman" w:hAnsi="Times New Roman" w:cs="Times New Roman"/>
          <w:i/>
        </w:rPr>
        <w:t>Journal of Marketing Research, 49</w:t>
      </w:r>
      <w:r w:rsidRPr="00032E8E">
        <w:rPr>
          <w:rFonts w:ascii="Times New Roman" w:hAnsi="Times New Roman" w:cs="Times New Roman"/>
        </w:rPr>
        <w:t xml:space="preserve">(4), 537-550. </w:t>
      </w:r>
    </w:p>
    <w:p w14:paraId="336B571B"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Pennebaker, J. W., Boyd, R. L., Jordan, K., &amp; Blackburn, K. (2015). </w:t>
      </w:r>
      <w:r w:rsidRPr="00032E8E">
        <w:rPr>
          <w:rFonts w:ascii="Times New Roman" w:hAnsi="Times New Roman" w:cs="Times New Roman"/>
          <w:i/>
        </w:rPr>
        <w:t>The development and psychometric properties of LIWC2015</w:t>
      </w:r>
      <w:r w:rsidRPr="00032E8E">
        <w:rPr>
          <w:rFonts w:ascii="Times New Roman" w:hAnsi="Times New Roman" w:cs="Times New Roman"/>
        </w:rPr>
        <w:t xml:space="preserve">. Retrieved from </w:t>
      </w:r>
    </w:p>
    <w:p w14:paraId="76A4562F"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Read, D., &amp; Loewenstein, G. (1995). Diversification bias: Explaining the discrepancy in variety seeking between combined and separated choices. </w:t>
      </w:r>
      <w:r w:rsidRPr="00032E8E">
        <w:rPr>
          <w:rFonts w:ascii="Times New Roman" w:hAnsi="Times New Roman" w:cs="Times New Roman"/>
          <w:i/>
        </w:rPr>
        <w:t>Journal of Experimental Psychology: Applied, 1</w:t>
      </w:r>
      <w:r w:rsidRPr="00032E8E">
        <w:rPr>
          <w:rFonts w:ascii="Times New Roman" w:hAnsi="Times New Roman" w:cs="Times New Roman"/>
        </w:rPr>
        <w:t xml:space="preserve">(1), 34. </w:t>
      </w:r>
    </w:p>
    <w:p w14:paraId="6DA070C5"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Read, D., Loewenstein, G., &amp; Rabin, M. (1999). Choice Bracketing. </w:t>
      </w:r>
      <w:r w:rsidRPr="00032E8E">
        <w:rPr>
          <w:rFonts w:ascii="Times New Roman" w:hAnsi="Times New Roman" w:cs="Times New Roman"/>
          <w:i/>
        </w:rPr>
        <w:t>Journal of Risk and Uncertainty, 19</w:t>
      </w:r>
      <w:r w:rsidRPr="00032E8E">
        <w:rPr>
          <w:rFonts w:ascii="Times New Roman" w:hAnsi="Times New Roman" w:cs="Times New Roman"/>
        </w:rPr>
        <w:t xml:space="preserve">, 171-197. </w:t>
      </w:r>
    </w:p>
    <w:p w14:paraId="5E8F9D7C"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Redelmeier, D. A., &amp; Tversky, A. (1992). On the Framing of Multiple Prospects. </w:t>
      </w:r>
      <w:r w:rsidRPr="00032E8E">
        <w:rPr>
          <w:rFonts w:ascii="Times New Roman" w:hAnsi="Times New Roman" w:cs="Times New Roman"/>
          <w:i/>
        </w:rPr>
        <w:t>Psychological Science, 3</w:t>
      </w:r>
      <w:r w:rsidRPr="00032E8E">
        <w:rPr>
          <w:rFonts w:ascii="Times New Roman" w:hAnsi="Times New Roman" w:cs="Times New Roman"/>
        </w:rPr>
        <w:t>(3), 191-193. doi:10.1111/j.1467-9280.1992.tb00025.x</w:t>
      </w:r>
    </w:p>
    <w:p w14:paraId="66F020F9"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Slovic, P., Fischhoff, B., &amp; Lichtenstein, S. (1978). Accident probabilities and seat belt usage: A psychological perspective. </w:t>
      </w:r>
    </w:p>
    <w:p w14:paraId="243D1CCC"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Sun, H.-L., Li, A.-M., Shen, S.-C., Xiong, G.-X., Rao, L.-L., Zheng, R., . . . Li, S. (2020). Early Departure, Early Revival: A" Free From Care" Account of Negative Temporal Discounting. </w:t>
      </w:r>
      <w:r w:rsidRPr="00032E8E">
        <w:rPr>
          <w:rFonts w:ascii="Times New Roman" w:hAnsi="Times New Roman" w:cs="Times New Roman"/>
          <w:i/>
        </w:rPr>
        <w:t>Advances in Cognitive Psychology, 16</w:t>
      </w:r>
      <w:r w:rsidRPr="00032E8E">
        <w:rPr>
          <w:rFonts w:ascii="Times New Roman" w:hAnsi="Times New Roman" w:cs="Times New Roman"/>
        </w:rPr>
        <w:t xml:space="preserve">(2). </w:t>
      </w:r>
    </w:p>
    <w:p w14:paraId="60A880A6"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Thaler, R., &amp; Sunstein, C. R. (2008). </w:t>
      </w:r>
      <w:r w:rsidRPr="00032E8E">
        <w:rPr>
          <w:rFonts w:ascii="Times New Roman" w:hAnsi="Times New Roman" w:cs="Times New Roman"/>
          <w:i/>
        </w:rPr>
        <w:t>Nudge: improving decisions about health, wealth, and happiness</w:t>
      </w:r>
      <w:r w:rsidRPr="00032E8E">
        <w:rPr>
          <w:rFonts w:ascii="Times New Roman" w:hAnsi="Times New Roman" w:cs="Times New Roman"/>
        </w:rPr>
        <w:t>: Yale University Press.</w:t>
      </w:r>
    </w:p>
    <w:p w14:paraId="0B1A086A"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t xml:space="preserve">Tversky, A., &amp; Kahneman, D. (1992). ADVANCES IN PROSPECT-THEORY - CUMULATIVE REPRESENTATION OF UNCERTAINTY. </w:t>
      </w:r>
      <w:r w:rsidRPr="00032E8E">
        <w:rPr>
          <w:rFonts w:ascii="Times New Roman" w:hAnsi="Times New Roman" w:cs="Times New Roman"/>
          <w:i/>
        </w:rPr>
        <w:t>Journal of Risk &amp; Uncertainty, 5</w:t>
      </w:r>
      <w:r w:rsidRPr="00032E8E">
        <w:rPr>
          <w:rFonts w:ascii="Times New Roman" w:hAnsi="Times New Roman" w:cs="Times New Roman"/>
        </w:rPr>
        <w:t>, 297-323. doi:10.1007/bf00122574</w:t>
      </w:r>
    </w:p>
    <w:p w14:paraId="77C6F81B" w14:textId="77777777" w:rsidR="00A505D4" w:rsidRPr="00032E8E" w:rsidRDefault="00A505D4" w:rsidP="00032E8E">
      <w:pPr>
        <w:pStyle w:val="EndNoteBibliography"/>
        <w:spacing w:line="480" w:lineRule="auto"/>
        <w:ind w:left="720" w:hanging="720"/>
        <w:rPr>
          <w:rFonts w:ascii="Times New Roman" w:hAnsi="Times New Roman" w:cs="Times New Roman"/>
        </w:rPr>
      </w:pPr>
      <w:r w:rsidRPr="00032E8E">
        <w:rPr>
          <w:rFonts w:ascii="Times New Roman" w:hAnsi="Times New Roman" w:cs="Times New Roman"/>
        </w:rPr>
        <w:lastRenderedPageBreak/>
        <w:t xml:space="preserve">Webb, E. C., &amp; Data, S. B. S. (2017). Is broad bracketing always better? How broad decision framing leads to more optimal preferences over repeated gambles. </w:t>
      </w:r>
      <w:r w:rsidRPr="00032E8E">
        <w:rPr>
          <w:rFonts w:ascii="Times New Roman" w:hAnsi="Times New Roman" w:cs="Times New Roman"/>
          <w:i/>
        </w:rPr>
        <w:t>Judgment and Decision Making, 12</w:t>
      </w:r>
      <w:r w:rsidRPr="00032E8E">
        <w:rPr>
          <w:rFonts w:ascii="Times New Roman" w:hAnsi="Times New Roman" w:cs="Times New Roman"/>
        </w:rPr>
        <w:t xml:space="preserve">(4), 382. </w:t>
      </w:r>
    </w:p>
    <w:p w14:paraId="324510EE" w14:textId="19980365" w:rsidR="00CC71E4" w:rsidRPr="009A04F1" w:rsidRDefault="00F53CB7" w:rsidP="00032E8E">
      <w:pPr>
        <w:pStyle w:val="EndNoteBibliography"/>
        <w:spacing w:line="480" w:lineRule="auto"/>
        <w:ind w:left="720" w:hanging="720"/>
        <w:rPr>
          <w:rFonts w:ascii="Times New Roman" w:hAnsi="Times New Roman"/>
        </w:rPr>
      </w:pPr>
      <w:r w:rsidRPr="00032E8E">
        <w:rPr>
          <w:rFonts w:ascii="Times New Roman" w:hAnsi="Times New Roman" w:cs="Times New Roman"/>
        </w:rPr>
        <w:fldChar w:fldCharType="end"/>
      </w:r>
    </w:p>
    <w:sectPr w:rsidR="00CC71E4" w:rsidRPr="009A04F1" w:rsidSect="00BA22E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1BD28" w14:textId="77777777" w:rsidR="009131B7" w:rsidRDefault="009131B7">
      <w:r>
        <w:separator/>
      </w:r>
    </w:p>
  </w:endnote>
  <w:endnote w:type="continuationSeparator" w:id="0">
    <w:p w14:paraId="5CAFA4C6" w14:textId="77777777" w:rsidR="009131B7" w:rsidRDefault="0091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466F5" w14:textId="77777777" w:rsidR="009131B7" w:rsidRDefault="009131B7">
      <w:r>
        <w:separator/>
      </w:r>
    </w:p>
  </w:footnote>
  <w:footnote w:type="continuationSeparator" w:id="0">
    <w:p w14:paraId="2B63F6CB" w14:textId="77777777" w:rsidR="009131B7" w:rsidRDefault="009131B7">
      <w:r>
        <w:continuationSeparator/>
      </w:r>
    </w:p>
  </w:footnote>
  <w:footnote w:id="1">
    <w:p w14:paraId="7B92903C" w14:textId="5DF07A0D" w:rsidR="00555B75" w:rsidRDefault="00555B75" w:rsidP="000A26F6">
      <w:pPr>
        <w:pStyle w:val="FootnoteText"/>
      </w:pPr>
      <w:r>
        <w:rPr>
          <w:rStyle w:val="FootnoteReference"/>
        </w:rPr>
        <w:footnoteRef/>
      </w:r>
      <w:r>
        <w:t xml:space="preserve"> </w:t>
      </w:r>
      <w:r w:rsidRPr="00973440">
        <w:rPr>
          <w:rFonts w:asciiTheme="majorBidi" w:hAnsiTheme="majorBidi" w:cstheme="majorBidi"/>
          <w:sz w:val="22"/>
          <w:szCs w:val="22"/>
        </w:rPr>
        <w:t xml:space="preserve">Due to </w:t>
      </w:r>
      <w:r>
        <w:rPr>
          <w:rFonts w:asciiTheme="majorBidi" w:hAnsiTheme="majorBidi" w:cstheme="majorBidi"/>
          <w:sz w:val="22"/>
          <w:szCs w:val="22"/>
        </w:rPr>
        <w:t>a</w:t>
      </w:r>
      <w:r w:rsidRPr="00973440">
        <w:rPr>
          <w:rFonts w:asciiTheme="majorBidi" w:hAnsiTheme="majorBidi" w:cstheme="majorBidi"/>
          <w:sz w:val="22"/>
          <w:szCs w:val="22"/>
        </w:rPr>
        <w:t xml:space="preserve"> technical </w:t>
      </w:r>
      <w:r>
        <w:rPr>
          <w:rFonts w:asciiTheme="majorBidi" w:hAnsiTheme="majorBidi" w:cstheme="majorBidi"/>
          <w:sz w:val="22"/>
          <w:szCs w:val="22"/>
        </w:rPr>
        <w:t>error in the study scripting</w:t>
      </w:r>
      <w:r w:rsidRPr="00973440">
        <w:rPr>
          <w:rFonts w:asciiTheme="majorBidi" w:hAnsiTheme="majorBidi" w:cstheme="majorBidi"/>
          <w:sz w:val="22"/>
          <w:szCs w:val="22"/>
        </w:rPr>
        <w:t xml:space="preserve">, some individual-level data were lost. </w:t>
      </w:r>
      <w:r>
        <w:rPr>
          <w:rFonts w:asciiTheme="majorBidi" w:hAnsiTheme="majorBidi" w:cstheme="majorBidi"/>
          <w:sz w:val="22"/>
          <w:szCs w:val="22"/>
        </w:rPr>
        <w:t>The</w:t>
      </w:r>
      <w:r w:rsidRPr="00973440">
        <w:rPr>
          <w:rFonts w:asciiTheme="majorBidi" w:hAnsiTheme="majorBidi" w:cstheme="majorBidi"/>
          <w:sz w:val="22"/>
          <w:szCs w:val="22"/>
        </w:rPr>
        <w:t xml:space="preserve"> demographic </w:t>
      </w:r>
      <w:r>
        <w:rPr>
          <w:rFonts w:asciiTheme="majorBidi" w:hAnsiTheme="majorBidi" w:cstheme="majorBidi"/>
          <w:sz w:val="22"/>
          <w:szCs w:val="22"/>
        </w:rPr>
        <w:t>data reported here</w:t>
      </w:r>
      <w:r w:rsidRPr="00973440">
        <w:rPr>
          <w:rFonts w:asciiTheme="majorBidi" w:hAnsiTheme="majorBidi" w:cstheme="majorBidi"/>
          <w:sz w:val="22"/>
          <w:szCs w:val="22"/>
        </w:rPr>
        <w:t xml:space="preserve"> is based on the data </w:t>
      </w:r>
      <w:r>
        <w:rPr>
          <w:rFonts w:asciiTheme="majorBidi" w:hAnsiTheme="majorBidi" w:cstheme="majorBidi"/>
          <w:sz w:val="22"/>
          <w:szCs w:val="22"/>
        </w:rPr>
        <w:t>before the error</w:t>
      </w:r>
      <w:r w:rsidRPr="00973440">
        <w:rPr>
          <w:rFonts w:asciiTheme="majorBidi" w:hAnsiTheme="majorBidi" w:cstheme="majorBidi"/>
          <w:sz w:val="22"/>
          <w:szCs w:val="22"/>
        </w:rPr>
        <w:t xml:space="preserve"> (n= 548).</w:t>
      </w:r>
      <w:r w:rsidRPr="0097344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3881F" w14:textId="77777777" w:rsidR="00555B75" w:rsidRPr="006C22C1" w:rsidRDefault="009131B7" w:rsidP="006C22C1">
    <w:pPr>
      <w:pStyle w:val="Header"/>
      <w:jc w:val="right"/>
      <w:rPr>
        <w:rFonts w:ascii="Times New Roman" w:hAnsi="Times New Roman"/>
      </w:rPr>
    </w:pPr>
    <w:sdt>
      <w:sdtPr>
        <w:id w:val="450912535"/>
        <w:docPartObj>
          <w:docPartGallery w:val="Page Numbers (Top of Page)"/>
          <w:docPartUnique/>
        </w:docPartObj>
      </w:sdtPr>
      <w:sdtEndPr>
        <w:rPr>
          <w:rFonts w:ascii="Times New Roman" w:hAnsi="Times New Roman"/>
          <w:noProof/>
        </w:rPr>
      </w:sdtEndPr>
      <w:sdtContent>
        <w:r w:rsidR="00555B75" w:rsidRPr="006C22C1">
          <w:rPr>
            <w:rFonts w:ascii="Times New Roman" w:hAnsi="Times New Roman"/>
            <w:lang w:val="en-CA"/>
          </w:rPr>
          <w:t>RUNNING HEAD: Precommitment as a nudge</w:t>
        </w:r>
      </w:sdtContent>
    </w:sdt>
    <w:r w:rsidR="00555B75">
      <w:rPr>
        <w:rFonts w:ascii="Times New Roman" w:hAnsi="Times New Roman"/>
        <w:noProof/>
      </w:rPr>
      <w:tab/>
    </w:r>
    <w:r w:rsidR="00555B75">
      <w:rPr>
        <w:rFonts w:ascii="Times New Roman" w:hAnsi="Times New Roman"/>
        <w:noProof/>
      </w:rPr>
      <w:tab/>
    </w:r>
    <w:r w:rsidR="00555B75" w:rsidRPr="006C22C1">
      <w:rPr>
        <w:rFonts w:ascii="Times New Roman" w:hAnsi="Times New Roman"/>
      </w:rPr>
      <w:fldChar w:fldCharType="begin"/>
    </w:r>
    <w:r w:rsidR="00555B75" w:rsidRPr="006C22C1">
      <w:rPr>
        <w:rFonts w:ascii="Times New Roman" w:hAnsi="Times New Roman"/>
      </w:rPr>
      <w:instrText xml:space="preserve"> PAGE   \* MERGEFORMAT </w:instrText>
    </w:r>
    <w:r w:rsidR="00555B75" w:rsidRPr="006C22C1">
      <w:rPr>
        <w:rFonts w:ascii="Times New Roman" w:hAnsi="Times New Roman"/>
      </w:rPr>
      <w:fldChar w:fldCharType="separate"/>
    </w:r>
    <w:r w:rsidR="00555B75">
      <w:rPr>
        <w:rFonts w:ascii="Times New Roman" w:hAnsi="Times New Roman"/>
      </w:rPr>
      <w:t>1</w:t>
    </w:r>
    <w:r w:rsidR="00555B75" w:rsidRPr="006C22C1">
      <w:rPr>
        <w:rFonts w:ascii="Times New Roman" w:hAnsi="Times New Roman"/>
        <w:noProof/>
      </w:rPr>
      <w:fldChar w:fldCharType="end"/>
    </w:r>
  </w:p>
  <w:p w14:paraId="01818B41" w14:textId="1B49F9E9" w:rsidR="00555B75" w:rsidRPr="006C22C1" w:rsidRDefault="00555B75" w:rsidP="006C22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2NzI2NLI0NzG1sDBW0lEKTi0uzszPAykwNKgFAJ8cfHo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12250"/>
    <w:rsid w:val="00001E0C"/>
    <w:rsid w:val="000043E7"/>
    <w:rsid w:val="00005AF9"/>
    <w:rsid w:val="00005E54"/>
    <w:rsid w:val="000075CB"/>
    <w:rsid w:val="00007FBE"/>
    <w:rsid w:val="00010E4A"/>
    <w:rsid w:val="00010F3D"/>
    <w:rsid w:val="00011473"/>
    <w:rsid w:val="00011644"/>
    <w:rsid w:val="00012D72"/>
    <w:rsid w:val="000149D0"/>
    <w:rsid w:val="00014B55"/>
    <w:rsid w:val="000155F8"/>
    <w:rsid w:val="00020F5D"/>
    <w:rsid w:val="00021B32"/>
    <w:rsid w:val="00021C27"/>
    <w:rsid w:val="00022A70"/>
    <w:rsid w:val="0002355E"/>
    <w:rsid w:val="000236D0"/>
    <w:rsid w:val="00024605"/>
    <w:rsid w:val="00024B47"/>
    <w:rsid w:val="000306B7"/>
    <w:rsid w:val="00030E08"/>
    <w:rsid w:val="00031A04"/>
    <w:rsid w:val="00032E8E"/>
    <w:rsid w:val="000339BF"/>
    <w:rsid w:val="00034F7C"/>
    <w:rsid w:val="00035029"/>
    <w:rsid w:val="00040B89"/>
    <w:rsid w:val="00041681"/>
    <w:rsid w:val="0004294C"/>
    <w:rsid w:val="00045078"/>
    <w:rsid w:val="00046EE0"/>
    <w:rsid w:val="00047C45"/>
    <w:rsid w:val="00047FAB"/>
    <w:rsid w:val="00050157"/>
    <w:rsid w:val="00050BDA"/>
    <w:rsid w:val="00053CE9"/>
    <w:rsid w:val="00055895"/>
    <w:rsid w:val="0005697B"/>
    <w:rsid w:val="00057754"/>
    <w:rsid w:val="00057C68"/>
    <w:rsid w:val="00060B08"/>
    <w:rsid w:val="00061A4B"/>
    <w:rsid w:val="00063943"/>
    <w:rsid w:val="00065948"/>
    <w:rsid w:val="000667FB"/>
    <w:rsid w:val="000701A5"/>
    <w:rsid w:val="0007049F"/>
    <w:rsid w:val="000717B7"/>
    <w:rsid w:val="00071F1F"/>
    <w:rsid w:val="00072349"/>
    <w:rsid w:val="0007326B"/>
    <w:rsid w:val="00073B13"/>
    <w:rsid w:val="0007408C"/>
    <w:rsid w:val="00076F94"/>
    <w:rsid w:val="00077E6A"/>
    <w:rsid w:val="000800FE"/>
    <w:rsid w:val="00080135"/>
    <w:rsid w:val="00090227"/>
    <w:rsid w:val="00092217"/>
    <w:rsid w:val="000927F8"/>
    <w:rsid w:val="00092B08"/>
    <w:rsid w:val="00095B5C"/>
    <w:rsid w:val="000963D5"/>
    <w:rsid w:val="00096BE5"/>
    <w:rsid w:val="000A1127"/>
    <w:rsid w:val="000A1470"/>
    <w:rsid w:val="000A26F6"/>
    <w:rsid w:val="000A327C"/>
    <w:rsid w:val="000A655C"/>
    <w:rsid w:val="000B0AC0"/>
    <w:rsid w:val="000B2CCD"/>
    <w:rsid w:val="000B3819"/>
    <w:rsid w:val="000B39C8"/>
    <w:rsid w:val="000B6A45"/>
    <w:rsid w:val="000C0B7E"/>
    <w:rsid w:val="000C3624"/>
    <w:rsid w:val="000C37D2"/>
    <w:rsid w:val="000C4E7C"/>
    <w:rsid w:val="000C7390"/>
    <w:rsid w:val="000C795A"/>
    <w:rsid w:val="000D08E4"/>
    <w:rsid w:val="000D0F43"/>
    <w:rsid w:val="000D11EA"/>
    <w:rsid w:val="000D155D"/>
    <w:rsid w:val="000D26FF"/>
    <w:rsid w:val="000D2FA5"/>
    <w:rsid w:val="000D336E"/>
    <w:rsid w:val="000D49AD"/>
    <w:rsid w:val="000E04DC"/>
    <w:rsid w:val="000E26FB"/>
    <w:rsid w:val="000E38BB"/>
    <w:rsid w:val="000E49F4"/>
    <w:rsid w:val="000E4DD2"/>
    <w:rsid w:val="000E4E1B"/>
    <w:rsid w:val="000E5005"/>
    <w:rsid w:val="000E5CC3"/>
    <w:rsid w:val="000E69B8"/>
    <w:rsid w:val="000E6A79"/>
    <w:rsid w:val="000F0FFE"/>
    <w:rsid w:val="000F16A0"/>
    <w:rsid w:val="000F1B31"/>
    <w:rsid w:val="000F25E0"/>
    <w:rsid w:val="000F2C02"/>
    <w:rsid w:val="000F2CBF"/>
    <w:rsid w:val="000F4449"/>
    <w:rsid w:val="000F516C"/>
    <w:rsid w:val="000F628A"/>
    <w:rsid w:val="000F6346"/>
    <w:rsid w:val="000F7C19"/>
    <w:rsid w:val="001011E2"/>
    <w:rsid w:val="00102ABF"/>
    <w:rsid w:val="00102D77"/>
    <w:rsid w:val="00103104"/>
    <w:rsid w:val="00103C25"/>
    <w:rsid w:val="00104D53"/>
    <w:rsid w:val="001051BC"/>
    <w:rsid w:val="001058AD"/>
    <w:rsid w:val="00105C16"/>
    <w:rsid w:val="00106DCF"/>
    <w:rsid w:val="0011158F"/>
    <w:rsid w:val="00111624"/>
    <w:rsid w:val="00111E10"/>
    <w:rsid w:val="00113FCE"/>
    <w:rsid w:val="001164F5"/>
    <w:rsid w:val="00121012"/>
    <w:rsid w:val="0012152C"/>
    <w:rsid w:val="001217BA"/>
    <w:rsid w:val="00122FC0"/>
    <w:rsid w:val="00123F74"/>
    <w:rsid w:val="00124D11"/>
    <w:rsid w:val="001251A5"/>
    <w:rsid w:val="00131257"/>
    <w:rsid w:val="00131589"/>
    <w:rsid w:val="001317C1"/>
    <w:rsid w:val="00132971"/>
    <w:rsid w:val="00132E66"/>
    <w:rsid w:val="001340F8"/>
    <w:rsid w:val="0013426A"/>
    <w:rsid w:val="00136D1D"/>
    <w:rsid w:val="00137459"/>
    <w:rsid w:val="00137E6F"/>
    <w:rsid w:val="00140856"/>
    <w:rsid w:val="00140A45"/>
    <w:rsid w:val="00141A5B"/>
    <w:rsid w:val="00141C3E"/>
    <w:rsid w:val="00141F58"/>
    <w:rsid w:val="00144209"/>
    <w:rsid w:val="00150ED5"/>
    <w:rsid w:val="0015170F"/>
    <w:rsid w:val="001543AA"/>
    <w:rsid w:val="00154C82"/>
    <w:rsid w:val="001560E9"/>
    <w:rsid w:val="0015684D"/>
    <w:rsid w:val="00160321"/>
    <w:rsid w:val="00160350"/>
    <w:rsid w:val="0016253B"/>
    <w:rsid w:val="00163890"/>
    <w:rsid w:val="00163CD2"/>
    <w:rsid w:val="0016696B"/>
    <w:rsid w:val="00170C03"/>
    <w:rsid w:val="001718DC"/>
    <w:rsid w:val="00171A73"/>
    <w:rsid w:val="00173C6B"/>
    <w:rsid w:val="00176CE1"/>
    <w:rsid w:val="0017767F"/>
    <w:rsid w:val="00180E21"/>
    <w:rsid w:val="00181F11"/>
    <w:rsid w:val="00186902"/>
    <w:rsid w:val="001872E4"/>
    <w:rsid w:val="00187F27"/>
    <w:rsid w:val="00190A67"/>
    <w:rsid w:val="00190F93"/>
    <w:rsid w:val="00190FA0"/>
    <w:rsid w:val="00191EE5"/>
    <w:rsid w:val="0019332A"/>
    <w:rsid w:val="0019410E"/>
    <w:rsid w:val="00195316"/>
    <w:rsid w:val="001953DC"/>
    <w:rsid w:val="001961EA"/>
    <w:rsid w:val="00196734"/>
    <w:rsid w:val="001A0945"/>
    <w:rsid w:val="001A2ADE"/>
    <w:rsid w:val="001A37B2"/>
    <w:rsid w:val="001A3D5C"/>
    <w:rsid w:val="001A3EA0"/>
    <w:rsid w:val="001A44EF"/>
    <w:rsid w:val="001A4671"/>
    <w:rsid w:val="001A4965"/>
    <w:rsid w:val="001A50FE"/>
    <w:rsid w:val="001B0BD2"/>
    <w:rsid w:val="001B4EA1"/>
    <w:rsid w:val="001B5D45"/>
    <w:rsid w:val="001B5EC3"/>
    <w:rsid w:val="001B5F42"/>
    <w:rsid w:val="001B6370"/>
    <w:rsid w:val="001B6981"/>
    <w:rsid w:val="001B7934"/>
    <w:rsid w:val="001C0079"/>
    <w:rsid w:val="001C040D"/>
    <w:rsid w:val="001C3132"/>
    <w:rsid w:val="001C4212"/>
    <w:rsid w:val="001C5733"/>
    <w:rsid w:val="001C5861"/>
    <w:rsid w:val="001D0855"/>
    <w:rsid w:val="001D2B7B"/>
    <w:rsid w:val="001D37A8"/>
    <w:rsid w:val="001D38FD"/>
    <w:rsid w:val="001D4BD3"/>
    <w:rsid w:val="001D4E28"/>
    <w:rsid w:val="001D6C24"/>
    <w:rsid w:val="001D739A"/>
    <w:rsid w:val="001D743F"/>
    <w:rsid w:val="001D77FB"/>
    <w:rsid w:val="001E0F6C"/>
    <w:rsid w:val="001E2F3E"/>
    <w:rsid w:val="001E508E"/>
    <w:rsid w:val="001E5FA3"/>
    <w:rsid w:val="001E6C98"/>
    <w:rsid w:val="001F1F35"/>
    <w:rsid w:val="001F4978"/>
    <w:rsid w:val="001F503D"/>
    <w:rsid w:val="001F5392"/>
    <w:rsid w:val="001F58C4"/>
    <w:rsid w:val="001F6D1C"/>
    <w:rsid w:val="001F70DC"/>
    <w:rsid w:val="001F7AEC"/>
    <w:rsid w:val="0020537C"/>
    <w:rsid w:val="00207723"/>
    <w:rsid w:val="00210B85"/>
    <w:rsid w:val="00211719"/>
    <w:rsid w:val="00213321"/>
    <w:rsid w:val="00216228"/>
    <w:rsid w:val="002163E6"/>
    <w:rsid w:val="002208A3"/>
    <w:rsid w:val="00220F32"/>
    <w:rsid w:val="002221DA"/>
    <w:rsid w:val="0022450D"/>
    <w:rsid w:val="00226977"/>
    <w:rsid w:val="00227398"/>
    <w:rsid w:val="0022785B"/>
    <w:rsid w:val="00227BB9"/>
    <w:rsid w:val="00227DAA"/>
    <w:rsid w:val="00230866"/>
    <w:rsid w:val="00230C53"/>
    <w:rsid w:val="00230D3C"/>
    <w:rsid w:val="00231241"/>
    <w:rsid w:val="00232484"/>
    <w:rsid w:val="002327F1"/>
    <w:rsid w:val="00232CBC"/>
    <w:rsid w:val="00233018"/>
    <w:rsid w:val="0023520D"/>
    <w:rsid w:val="00237FF4"/>
    <w:rsid w:val="00240EC9"/>
    <w:rsid w:val="00241477"/>
    <w:rsid w:val="0024311E"/>
    <w:rsid w:val="00244923"/>
    <w:rsid w:val="00245111"/>
    <w:rsid w:val="002456B3"/>
    <w:rsid w:val="00247556"/>
    <w:rsid w:val="00247A4A"/>
    <w:rsid w:val="00252A63"/>
    <w:rsid w:val="00252D43"/>
    <w:rsid w:val="00253AC4"/>
    <w:rsid w:val="00262851"/>
    <w:rsid w:val="00264F45"/>
    <w:rsid w:val="00265167"/>
    <w:rsid w:val="00270254"/>
    <w:rsid w:val="0027088A"/>
    <w:rsid w:val="00270959"/>
    <w:rsid w:val="002710CD"/>
    <w:rsid w:val="002716FE"/>
    <w:rsid w:val="00271AC2"/>
    <w:rsid w:val="00273139"/>
    <w:rsid w:val="00274FE9"/>
    <w:rsid w:val="002759A7"/>
    <w:rsid w:val="0027608A"/>
    <w:rsid w:val="0027655B"/>
    <w:rsid w:val="00277236"/>
    <w:rsid w:val="0027787E"/>
    <w:rsid w:val="002815B1"/>
    <w:rsid w:val="00281F18"/>
    <w:rsid w:val="002820E6"/>
    <w:rsid w:val="002826C8"/>
    <w:rsid w:val="002839E4"/>
    <w:rsid w:val="002903A1"/>
    <w:rsid w:val="00290E15"/>
    <w:rsid w:val="00291ECF"/>
    <w:rsid w:val="00291EFC"/>
    <w:rsid w:val="00292DF9"/>
    <w:rsid w:val="002962C9"/>
    <w:rsid w:val="00296B08"/>
    <w:rsid w:val="002970EE"/>
    <w:rsid w:val="00297EDE"/>
    <w:rsid w:val="002A0A62"/>
    <w:rsid w:val="002A1513"/>
    <w:rsid w:val="002A201E"/>
    <w:rsid w:val="002A46E0"/>
    <w:rsid w:val="002A4FB1"/>
    <w:rsid w:val="002A4FBC"/>
    <w:rsid w:val="002A6F25"/>
    <w:rsid w:val="002A6FD7"/>
    <w:rsid w:val="002B2C15"/>
    <w:rsid w:val="002B5052"/>
    <w:rsid w:val="002B5ADD"/>
    <w:rsid w:val="002B6301"/>
    <w:rsid w:val="002C0793"/>
    <w:rsid w:val="002C0DAD"/>
    <w:rsid w:val="002C0F07"/>
    <w:rsid w:val="002C2177"/>
    <w:rsid w:val="002C2DB4"/>
    <w:rsid w:val="002C357F"/>
    <w:rsid w:val="002C3EA1"/>
    <w:rsid w:val="002C4B4B"/>
    <w:rsid w:val="002C6A43"/>
    <w:rsid w:val="002D1C15"/>
    <w:rsid w:val="002D2146"/>
    <w:rsid w:val="002D2AC3"/>
    <w:rsid w:val="002D328B"/>
    <w:rsid w:val="002D344D"/>
    <w:rsid w:val="002D5166"/>
    <w:rsid w:val="002D5B47"/>
    <w:rsid w:val="002D5C1D"/>
    <w:rsid w:val="002D5C37"/>
    <w:rsid w:val="002D7B68"/>
    <w:rsid w:val="002E054E"/>
    <w:rsid w:val="002E2D85"/>
    <w:rsid w:val="002E3360"/>
    <w:rsid w:val="002E5717"/>
    <w:rsid w:val="002F1CEC"/>
    <w:rsid w:val="002F26B6"/>
    <w:rsid w:val="002F354D"/>
    <w:rsid w:val="002F43F8"/>
    <w:rsid w:val="002F6387"/>
    <w:rsid w:val="002F6E1E"/>
    <w:rsid w:val="002F789C"/>
    <w:rsid w:val="00300510"/>
    <w:rsid w:val="003020DB"/>
    <w:rsid w:val="003060C2"/>
    <w:rsid w:val="00306EC1"/>
    <w:rsid w:val="003115FE"/>
    <w:rsid w:val="00311BD9"/>
    <w:rsid w:val="003127B7"/>
    <w:rsid w:val="00313B17"/>
    <w:rsid w:val="00313C87"/>
    <w:rsid w:val="003151B6"/>
    <w:rsid w:val="003153A2"/>
    <w:rsid w:val="003154B8"/>
    <w:rsid w:val="00320803"/>
    <w:rsid w:val="003208C2"/>
    <w:rsid w:val="00321F97"/>
    <w:rsid w:val="003234D8"/>
    <w:rsid w:val="00323557"/>
    <w:rsid w:val="003266B9"/>
    <w:rsid w:val="0032728A"/>
    <w:rsid w:val="003320DB"/>
    <w:rsid w:val="0033291A"/>
    <w:rsid w:val="003349E8"/>
    <w:rsid w:val="0033632E"/>
    <w:rsid w:val="00336765"/>
    <w:rsid w:val="00336D25"/>
    <w:rsid w:val="003371AA"/>
    <w:rsid w:val="00337283"/>
    <w:rsid w:val="003449B1"/>
    <w:rsid w:val="0034546E"/>
    <w:rsid w:val="00346AD8"/>
    <w:rsid w:val="0034762B"/>
    <w:rsid w:val="0035137C"/>
    <w:rsid w:val="00351B05"/>
    <w:rsid w:val="0035333A"/>
    <w:rsid w:val="003565F7"/>
    <w:rsid w:val="0036057E"/>
    <w:rsid w:val="00361FD8"/>
    <w:rsid w:val="00365718"/>
    <w:rsid w:val="00365794"/>
    <w:rsid w:val="00365C6A"/>
    <w:rsid w:val="00365F94"/>
    <w:rsid w:val="00366805"/>
    <w:rsid w:val="00366EE2"/>
    <w:rsid w:val="00367CD6"/>
    <w:rsid w:val="003801FB"/>
    <w:rsid w:val="00380DB9"/>
    <w:rsid w:val="003815EB"/>
    <w:rsid w:val="00381ED1"/>
    <w:rsid w:val="00385DAB"/>
    <w:rsid w:val="00386548"/>
    <w:rsid w:val="00391911"/>
    <w:rsid w:val="00394E6A"/>
    <w:rsid w:val="00395FC3"/>
    <w:rsid w:val="00396E3B"/>
    <w:rsid w:val="0039799E"/>
    <w:rsid w:val="003A380D"/>
    <w:rsid w:val="003A5807"/>
    <w:rsid w:val="003A7740"/>
    <w:rsid w:val="003B0DB5"/>
    <w:rsid w:val="003B5324"/>
    <w:rsid w:val="003B5365"/>
    <w:rsid w:val="003B5596"/>
    <w:rsid w:val="003B56B3"/>
    <w:rsid w:val="003B6CCE"/>
    <w:rsid w:val="003C0514"/>
    <w:rsid w:val="003C1AEA"/>
    <w:rsid w:val="003C2ABB"/>
    <w:rsid w:val="003C3FBD"/>
    <w:rsid w:val="003D1C94"/>
    <w:rsid w:val="003D27D9"/>
    <w:rsid w:val="003D72D9"/>
    <w:rsid w:val="003D7475"/>
    <w:rsid w:val="003D7B9B"/>
    <w:rsid w:val="003E037B"/>
    <w:rsid w:val="003E13BC"/>
    <w:rsid w:val="003E1519"/>
    <w:rsid w:val="003E34D8"/>
    <w:rsid w:val="003E35BF"/>
    <w:rsid w:val="003E3E09"/>
    <w:rsid w:val="003E78A0"/>
    <w:rsid w:val="003F0F91"/>
    <w:rsid w:val="003F19EA"/>
    <w:rsid w:val="003F1A26"/>
    <w:rsid w:val="003F239F"/>
    <w:rsid w:val="003F3B18"/>
    <w:rsid w:val="003F3B59"/>
    <w:rsid w:val="003F3EFD"/>
    <w:rsid w:val="003F684B"/>
    <w:rsid w:val="003F7202"/>
    <w:rsid w:val="003F7B8D"/>
    <w:rsid w:val="0040036E"/>
    <w:rsid w:val="00400ED7"/>
    <w:rsid w:val="0040273B"/>
    <w:rsid w:val="004036FE"/>
    <w:rsid w:val="0040491D"/>
    <w:rsid w:val="004079EC"/>
    <w:rsid w:val="0041024F"/>
    <w:rsid w:val="00411148"/>
    <w:rsid w:val="004135D7"/>
    <w:rsid w:val="00413BC5"/>
    <w:rsid w:val="00413D90"/>
    <w:rsid w:val="00416B99"/>
    <w:rsid w:val="00417688"/>
    <w:rsid w:val="004176BD"/>
    <w:rsid w:val="00421CE4"/>
    <w:rsid w:val="00422E87"/>
    <w:rsid w:val="0042304C"/>
    <w:rsid w:val="004259B8"/>
    <w:rsid w:val="004273BC"/>
    <w:rsid w:val="00430316"/>
    <w:rsid w:val="00430A12"/>
    <w:rsid w:val="00432151"/>
    <w:rsid w:val="00433D6E"/>
    <w:rsid w:val="00434349"/>
    <w:rsid w:val="00436668"/>
    <w:rsid w:val="00437A4B"/>
    <w:rsid w:val="00440878"/>
    <w:rsid w:val="00441397"/>
    <w:rsid w:val="0044722B"/>
    <w:rsid w:val="00450A4F"/>
    <w:rsid w:val="00452347"/>
    <w:rsid w:val="004532A8"/>
    <w:rsid w:val="00453B8B"/>
    <w:rsid w:val="0045498C"/>
    <w:rsid w:val="0045579F"/>
    <w:rsid w:val="00456698"/>
    <w:rsid w:val="00456BE1"/>
    <w:rsid w:val="004573FA"/>
    <w:rsid w:val="0045780A"/>
    <w:rsid w:val="004618C8"/>
    <w:rsid w:val="004632DE"/>
    <w:rsid w:val="00464331"/>
    <w:rsid w:val="00464354"/>
    <w:rsid w:val="004651A3"/>
    <w:rsid w:val="0046570E"/>
    <w:rsid w:val="00466609"/>
    <w:rsid w:val="00467332"/>
    <w:rsid w:val="00467C80"/>
    <w:rsid w:val="00467DC1"/>
    <w:rsid w:val="004721E2"/>
    <w:rsid w:val="004809DA"/>
    <w:rsid w:val="00480F2D"/>
    <w:rsid w:val="0048441D"/>
    <w:rsid w:val="00484F00"/>
    <w:rsid w:val="004872AE"/>
    <w:rsid w:val="004942A1"/>
    <w:rsid w:val="00496AFD"/>
    <w:rsid w:val="00496CF4"/>
    <w:rsid w:val="00497269"/>
    <w:rsid w:val="00497E55"/>
    <w:rsid w:val="004A1560"/>
    <w:rsid w:val="004A1595"/>
    <w:rsid w:val="004A2163"/>
    <w:rsid w:val="004A355D"/>
    <w:rsid w:val="004A4C4D"/>
    <w:rsid w:val="004A6A29"/>
    <w:rsid w:val="004A795A"/>
    <w:rsid w:val="004A7EB2"/>
    <w:rsid w:val="004A7EC5"/>
    <w:rsid w:val="004B3E92"/>
    <w:rsid w:val="004B562C"/>
    <w:rsid w:val="004B6A52"/>
    <w:rsid w:val="004C00A5"/>
    <w:rsid w:val="004C059A"/>
    <w:rsid w:val="004C0A26"/>
    <w:rsid w:val="004C0EEF"/>
    <w:rsid w:val="004C2530"/>
    <w:rsid w:val="004C39F3"/>
    <w:rsid w:val="004C59CF"/>
    <w:rsid w:val="004D041A"/>
    <w:rsid w:val="004D1724"/>
    <w:rsid w:val="004D1F26"/>
    <w:rsid w:val="004D2085"/>
    <w:rsid w:val="004D5CFE"/>
    <w:rsid w:val="004D6E2B"/>
    <w:rsid w:val="004E2A2E"/>
    <w:rsid w:val="004E450A"/>
    <w:rsid w:val="004E58E6"/>
    <w:rsid w:val="004E5DEA"/>
    <w:rsid w:val="004E63DF"/>
    <w:rsid w:val="004E6637"/>
    <w:rsid w:val="004E6B49"/>
    <w:rsid w:val="004E7902"/>
    <w:rsid w:val="004F0BC6"/>
    <w:rsid w:val="004F2CF8"/>
    <w:rsid w:val="004F47B9"/>
    <w:rsid w:val="004F4DDB"/>
    <w:rsid w:val="004F50E8"/>
    <w:rsid w:val="004F6E33"/>
    <w:rsid w:val="005014DB"/>
    <w:rsid w:val="005020B6"/>
    <w:rsid w:val="005038BE"/>
    <w:rsid w:val="005048A4"/>
    <w:rsid w:val="00504C77"/>
    <w:rsid w:val="00506824"/>
    <w:rsid w:val="00507556"/>
    <w:rsid w:val="00507F98"/>
    <w:rsid w:val="00510B3D"/>
    <w:rsid w:val="00510CF8"/>
    <w:rsid w:val="0051283D"/>
    <w:rsid w:val="005142E4"/>
    <w:rsid w:val="0051471F"/>
    <w:rsid w:val="00514CEC"/>
    <w:rsid w:val="00516AF4"/>
    <w:rsid w:val="005240C3"/>
    <w:rsid w:val="00524A59"/>
    <w:rsid w:val="00524A9B"/>
    <w:rsid w:val="00524ED4"/>
    <w:rsid w:val="00525913"/>
    <w:rsid w:val="0052598E"/>
    <w:rsid w:val="00527EBD"/>
    <w:rsid w:val="005309CE"/>
    <w:rsid w:val="0053282E"/>
    <w:rsid w:val="005350B1"/>
    <w:rsid w:val="005360A6"/>
    <w:rsid w:val="00537473"/>
    <w:rsid w:val="0053770D"/>
    <w:rsid w:val="00542472"/>
    <w:rsid w:val="005425DD"/>
    <w:rsid w:val="00543BB1"/>
    <w:rsid w:val="0054610C"/>
    <w:rsid w:val="00547B20"/>
    <w:rsid w:val="0055215B"/>
    <w:rsid w:val="005522A5"/>
    <w:rsid w:val="00554D10"/>
    <w:rsid w:val="00555B75"/>
    <w:rsid w:val="005619D8"/>
    <w:rsid w:val="00563887"/>
    <w:rsid w:val="00565084"/>
    <w:rsid w:val="005657BD"/>
    <w:rsid w:val="00566C8E"/>
    <w:rsid w:val="00566DA6"/>
    <w:rsid w:val="0056754F"/>
    <w:rsid w:val="00567842"/>
    <w:rsid w:val="00574526"/>
    <w:rsid w:val="00577EEE"/>
    <w:rsid w:val="00581EA7"/>
    <w:rsid w:val="00583914"/>
    <w:rsid w:val="00585296"/>
    <w:rsid w:val="00585B74"/>
    <w:rsid w:val="00585BC1"/>
    <w:rsid w:val="0058607D"/>
    <w:rsid w:val="0058699E"/>
    <w:rsid w:val="00590BC5"/>
    <w:rsid w:val="00591EB9"/>
    <w:rsid w:val="00594931"/>
    <w:rsid w:val="00597239"/>
    <w:rsid w:val="00597EB9"/>
    <w:rsid w:val="005A02FE"/>
    <w:rsid w:val="005A14DA"/>
    <w:rsid w:val="005A2798"/>
    <w:rsid w:val="005A30B9"/>
    <w:rsid w:val="005A3454"/>
    <w:rsid w:val="005A3B5D"/>
    <w:rsid w:val="005A43D2"/>
    <w:rsid w:val="005A58C9"/>
    <w:rsid w:val="005A5C78"/>
    <w:rsid w:val="005A5E77"/>
    <w:rsid w:val="005A603F"/>
    <w:rsid w:val="005A70C7"/>
    <w:rsid w:val="005B3A8A"/>
    <w:rsid w:val="005B46CF"/>
    <w:rsid w:val="005B4ABB"/>
    <w:rsid w:val="005B5C28"/>
    <w:rsid w:val="005B5C7B"/>
    <w:rsid w:val="005B5EE3"/>
    <w:rsid w:val="005B6C1C"/>
    <w:rsid w:val="005C3AE0"/>
    <w:rsid w:val="005C3C2F"/>
    <w:rsid w:val="005C512B"/>
    <w:rsid w:val="005C78DB"/>
    <w:rsid w:val="005C7AB0"/>
    <w:rsid w:val="005D0469"/>
    <w:rsid w:val="005D0D1B"/>
    <w:rsid w:val="005D38C1"/>
    <w:rsid w:val="005D3AFD"/>
    <w:rsid w:val="005D3E14"/>
    <w:rsid w:val="005D4809"/>
    <w:rsid w:val="005D6060"/>
    <w:rsid w:val="005D69AF"/>
    <w:rsid w:val="005D71F4"/>
    <w:rsid w:val="005E213A"/>
    <w:rsid w:val="005E381F"/>
    <w:rsid w:val="005E3C32"/>
    <w:rsid w:val="005E5B36"/>
    <w:rsid w:val="005F2D73"/>
    <w:rsid w:val="005F30C2"/>
    <w:rsid w:val="005F3B56"/>
    <w:rsid w:val="005F3E74"/>
    <w:rsid w:val="005F3E90"/>
    <w:rsid w:val="005F544A"/>
    <w:rsid w:val="005F5985"/>
    <w:rsid w:val="005F60D6"/>
    <w:rsid w:val="005F6AB5"/>
    <w:rsid w:val="005F6CBB"/>
    <w:rsid w:val="005F6EB3"/>
    <w:rsid w:val="005F7046"/>
    <w:rsid w:val="005F746C"/>
    <w:rsid w:val="00601DE3"/>
    <w:rsid w:val="00602F01"/>
    <w:rsid w:val="00602F1E"/>
    <w:rsid w:val="006036C9"/>
    <w:rsid w:val="00603CA7"/>
    <w:rsid w:val="00607538"/>
    <w:rsid w:val="00610731"/>
    <w:rsid w:val="006116CB"/>
    <w:rsid w:val="006140B6"/>
    <w:rsid w:val="00614CF1"/>
    <w:rsid w:val="00614EAB"/>
    <w:rsid w:val="00615C88"/>
    <w:rsid w:val="00616E88"/>
    <w:rsid w:val="00620079"/>
    <w:rsid w:val="00621C61"/>
    <w:rsid w:val="006247F0"/>
    <w:rsid w:val="00625C66"/>
    <w:rsid w:val="00630667"/>
    <w:rsid w:val="00630B63"/>
    <w:rsid w:val="00631B3E"/>
    <w:rsid w:val="00632B57"/>
    <w:rsid w:val="00632B7D"/>
    <w:rsid w:val="00632EC0"/>
    <w:rsid w:val="0063352E"/>
    <w:rsid w:val="00634A15"/>
    <w:rsid w:val="00635D8F"/>
    <w:rsid w:val="00635F8E"/>
    <w:rsid w:val="00643413"/>
    <w:rsid w:val="0064470D"/>
    <w:rsid w:val="00645B94"/>
    <w:rsid w:val="00652DF7"/>
    <w:rsid w:val="006553E4"/>
    <w:rsid w:val="00655769"/>
    <w:rsid w:val="00656147"/>
    <w:rsid w:val="0065725C"/>
    <w:rsid w:val="00657400"/>
    <w:rsid w:val="006612CC"/>
    <w:rsid w:val="00661536"/>
    <w:rsid w:val="00661AD8"/>
    <w:rsid w:val="00661D1E"/>
    <w:rsid w:val="0066368C"/>
    <w:rsid w:val="00663D1A"/>
    <w:rsid w:val="00664394"/>
    <w:rsid w:val="00665FD5"/>
    <w:rsid w:val="00671669"/>
    <w:rsid w:val="00671E7E"/>
    <w:rsid w:val="00671FD8"/>
    <w:rsid w:val="00673600"/>
    <w:rsid w:val="00675410"/>
    <w:rsid w:val="00675990"/>
    <w:rsid w:val="0067678E"/>
    <w:rsid w:val="006767DE"/>
    <w:rsid w:val="00680509"/>
    <w:rsid w:val="00680C9A"/>
    <w:rsid w:val="006811DC"/>
    <w:rsid w:val="006841D5"/>
    <w:rsid w:val="00684DCF"/>
    <w:rsid w:val="006850FF"/>
    <w:rsid w:val="00685826"/>
    <w:rsid w:val="00685AE9"/>
    <w:rsid w:val="0068692B"/>
    <w:rsid w:val="00686A0F"/>
    <w:rsid w:val="00687835"/>
    <w:rsid w:val="0069047C"/>
    <w:rsid w:val="00690D8C"/>
    <w:rsid w:val="00690FF9"/>
    <w:rsid w:val="00690FFA"/>
    <w:rsid w:val="00691F76"/>
    <w:rsid w:val="006924B2"/>
    <w:rsid w:val="00693279"/>
    <w:rsid w:val="006956C1"/>
    <w:rsid w:val="006971FF"/>
    <w:rsid w:val="00697A4B"/>
    <w:rsid w:val="006A32D5"/>
    <w:rsid w:val="006A3873"/>
    <w:rsid w:val="006A5849"/>
    <w:rsid w:val="006A6763"/>
    <w:rsid w:val="006A764A"/>
    <w:rsid w:val="006A7E3F"/>
    <w:rsid w:val="006B1290"/>
    <w:rsid w:val="006B237D"/>
    <w:rsid w:val="006B3818"/>
    <w:rsid w:val="006B383D"/>
    <w:rsid w:val="006B4F49"/>
    <w:rsid w:val="006B54AB"/>
    <w:rsid w:val="006B6638"/>
    <w:rsid w:val="006B6FB0"/>
    <w:rsid w:val="006C0E39"/>
    <w:rsid w:val="006C132E"/>
    <w:rsid w:val="006C1ED6"/>
    <w:rsid w:val="006C22C1"/>
    <w:rsid w:val="006C2D2A"/>
    <w:rsid w:val="006C309F"/>
    <w:rsid w:val="006C3182"/>
    <w:rsid w:val="006C6D51"/>
    <w:rsid w:val="006C7109"/>
    <w:rsid w:val="006C7278"/>
    <w:rsid w:val="006C7DEF"/>
    <w:rsid w:val="006D01DD"/>
    <w:rsid w:val="006D0DE0"/>
    <w:rsid w:val="006D2F46"/>
    <w:rsid w:val="006D45C3"/>
    <w:rsid w:val="006D46C8"/>
    <w:rsid w:val="006D4A88"/>
    <w:rsid w:val="006D60E7"/>
    <w:rsid w:val="006D6C29"/>
    <w:rsid w:val="006D7F37"/>
    <w:rsid w:val="006E09F9"/>
    <w:rsid w:val="006E2F61"/>
    <w:rsid w:val="006E40F0"/>
    <w:rsid w:val="006E5996"/>
    <w:rsid w:val="006E655D"/>
    <w:rsid w:val="006E664A"/>
    <w:rsid w:val="006F1D35"/>
    <w:rsid w:val="006F4721"/>
    <w:rsid w:val="006F4B74"/>
    <w:rsid w:val="006F4C4D"/>
    <w:rsid w:val="006F5EF1"/>
    <w:rsid w:val="006F7DBE"/>
    <w:rsid w:val="0070024C"/>
    <w:rsid w:val="007010E8"/>
    <w:rsid w:val="00701826"/>
    <w:rsid w:val="00703746"/>
    <w:rsid w:val="00704B94"/>
    <w:rsid w:val="007072A7"/>
    <w:rsid w:val="007075E1"/>
    <w:rsid w:val="00711042"/>
    <w:rsid w:val="00712250"/>
    <w:rsid w:val="007125DE"/>
    <w:rsid w:val="00715572"/>
    <w:rsid w:val="00715B83"/>
    <w:rsid w:val="007172BA"/>
    <w:rsid w:val="00717FBD"/>
    <w:rsid w:val="007219E0"/>
    <w:rsid w:val="00723BEB"/>
    <w:rsid w:val="007247C3"/>
    <w:rsid w:val="007265AB"/>
    <w:rsid w:val="0073262E"/>
    <w:rsid w:val="00732678"/>
    <w:rsid w:val="00732815"/>
    <w:rsid w:val="00733464"/>
    <w:rsid w:val="007334ED"/>
    <w:rsid w:val="007364D5"/>
    <w:rsid w:val="007376B1"/>
    <w:rsid w:val="00744C0E"/>
    <w:rsid w:val="007464F3"/>
    <w:rsid w:val="00747919"/>
    <w:rsid w:val="00751ACC"/>
    <w:rsid w:val="0075313F"/>
    <w:rsid w:val="00754A24"/>
    <w:rsid w:val="00754DC0"/>
    <w:rsid w:val="0075518B"/>
    <w:rsid w:val="0075726C"/>
    <w:rsid w:val="00757FC9"/>
    <w:rsid w:val="00760599"/>
    <w:rsid w:val="007608B9"/>
    <w:rsid w:val="00760FE3"/>
    <w:rsid w:val="007621AC"/>
    <w:rsid w:val="0076368C"/>
    <w:rsid w:val="0076552F"/>
    <w:rsid w:val="007674AA"/>
    <w:rsid w:val="007707B4"/>
    <w:rsid w:val="0077139E"/>
    <w:rsid w:val="0077151C"/>
    <w:rsid w:val="00772A1B"/>
    <w:rsid w:val="00773BE5"/>
    <w:rsid w:val="007756E6"/>
    <w:rsid w:val="007763F0"/>
    <w:rsid w:val="00776CAA"/>
    <w:rsid w:val="007775E6"/>
    <w:rsid w:val="00777E76"/>
    <w:rsid w:val="00781086"/>
    <w:rsid w:val="007824CA"/>
    <w:rsid w:val="007854F9"/>
    <w:rsid w:val="007877D7"/>
    <w:rsid w:val="00791B69"/>
    <w:rsid w:val="00793C20"/>
    <w:rsid w:val="00793C78"/>
    <w:rsid w:val="00794C36"/>
    <w:rsid w:val="00794E98"/>
    <w:rsid w:val="00795CFE"/>
    <w:rsid w:val="00796FB3"/>
    <w:rsid w:val="00797CEC"/>
    <w:rsid w:val="007A0FB1"/>
    <w:rsid w:val="007A17EB"/>
    <w:rsid w:val="007A2E74"/>
    <w:rsid w:val="007A3E2E"/>
    <w:rsid w:val="007A5868"/>
    <w:rsid w:val="007A5FD6"/>
    <w:rsid w:val="007A7AB8"/>
    <w:rsid w:val="007A7DC4"/>
    <w:rsid w:val="007B13E7"/>
    <w:rsid w:val="007B2755"/>
    <w:rsid w:val="007B2E41"/>
    <w:rsid w:val="007B316B"/>
    <w:rsid w:val="007B78CE"/>
    <w:rsid w:val="007C0579"/>
    <w:rsid w:val="007C0A2E"/>
    <w:rsid w:val="007C0F66"/>
    <w:rsid w:val="007C1B19"/>
    <w:rsid w:val="007C269D"/>
    <w:rsid w:val="007C59C4"/>
    <w:rsid w:val="007C62F2"/>
    <w:rsid w:val="007C7837"/>
    <w:rsid w:val="007D004A"/>
    <w:rsid w:val="007D0BC5"/>
    <w:rsid w:val="007D3FA0"/>
    <w:rsid w:val="007D4E98"/>
    <w:rsid w:val="007D545D"/>
    <w:rsid w:val="007D5B82"/>
    <w:rsid w:val="007D6E38"/>
    <w:rsid w:val="007E082F"/>
    <w:rsid w:val="007E12B2"/>
    <w:rsid w:val="007E1C80"/>
    <w:rsid w:val="007E26B8"/>
    <w:rsid w:val="007E3688"/>
    <w:rsid w:val="007E48CA"/>
    <w:rsid w:val="007E4DB9"/>
    <w:rsid w:val="007E5ED4"/>
    <w:rsid w:val="007E676A"/>
    <w:rsid w:val="007E75DE"/>
    <w:rsid w:val="007E778E"/>
    <w:rsid w:val="007E7EFE"/>
    <w:rsid w:val="007F37C5"/>
    <w:rsid w:val="007F39CB"/>
    <w:rsid w:val="007F7FC9"/>
    <w:rsid w:val="00801FA0"/>
    <w:rsid w:val="00802A39"/>
    <w:rsid w:val="00803821"/>
    <w:rsid w:val="00806905"/>
    <w:rsid w:val="008074B1"/>
    <w:rsid w:val="0081067C"/>
    <w:rsid w:val="0081080A"/>
    <w:rsid w:val="0081173D"/>
    <w:rsid w:val="00811FBA"/>
    <w:rsid w:val="00812400"/>
    <w:rsid w:val="0081245B"/>
    <w:rsid w:val="008126B0"/>
    <w:rsid w:val="00814999"/>
    <w:rsid w:val="00816799"/>
    <w:rsid w:val="00817844"/>
    <w:rsid w:val="00817994"/>
    <w:rsid w:val="008207B4"/>
    <w:rsid w:val="00820F47"/>
    <w:rsid w:val="008241E0"/>
    <w:rsid w:val="00824F7F"/>
    <w:rsid w:val="00824FBC"/>
    <w:rsid w:val="00830693"/>
    <w:rsid w:val="00831B0C"/>
    <w:rsid w:val="00832989"/>
    <w:rsid w:val="0083422C"/>
    <w:rsid w:val="0083523A"/>
    <w:rsid w:val="00835625"/>
    <w:rsid w:val="00840393"/>
    <w:rsid w:val="00841F85"/>
    <w:rsid w:val="008429B7"/>
    <w:rsid w:val="00842B63"/>
    <w:rsid w:val="00844514"/>
    <w:rsid w:val="00844F71"/>
    <w:rsid w:val="0084531C"/>
    <w:rsid w:val="008460B3"/>
    <w:rsid w:val="00851E8D"/>
    <w:rsid w:val="008528E1"/>
    <w:rsid w:val="00861DEB"/>
    <w:rsid w:val="008625B9"/>
    <w:rsid w:val="00863705"/>
    <w:rsid w:val="008640C6"/>
    <w:rsid w:val="00864B02"/>
    <w:rsid w:val="008669AC"/>
    <w:rsid w:val="00866B00"/>
    <w:rsid w:val="00867E69"/>
    <w:rsid w:val="00870589"/>
    <w:rsid w:val="00872CA9"/>
    <w:rsid w:val="00872FB4"/>
    <w:rsid w:val="008765EF"/>
    <w:rsid w:val="0087680E"/>
    <w:rsid w:val="008814D1"/>
    <w:rsid w:val="00882FA6"/>
    <w:rsid w:val="0088616B"/>
    <w:rsid w:val="00886C6D"/>
    <w:rsid w:val="00890665"/>
    <w:rsid w:val="00892B0D"/>
    <w:rsid w:val="0089319F"/>
    <w:rsid w:val="008936CF"/>
    <w:rsid w:val="008949CE"/>
    <w:rsid w:val="008952CF"/>
    <w:rsid w:val="00895E50"/>
    <w:rsid w:val="00897647"/>
    <w:rsid w:val="008A0002"/>
    <w:rsid w:val="008A2B41"/>
    <w:rsid w:val="008A2F6F"/>
    <w:rsid w:val="008A3607"/>
    <w:rsid w:val="008A49A1"/>
    <w:rsid w:val="008A4F4B"/>
    <w:rsid w:val="008A6C6F"/>
    <w:rsid w:val="008B0131"/>
    <w:rsid w:val="008B073C"/>
    <w:rsid w:val="008B35B9"/>
    <w:rsid w:val="008B4B22"/>
    <w:rsid w:val="008B7ED3"/>
    <w:rsid w:val="008C1042"/>
    <w:rsid w:val="008C1E2F"/>
    <w:rsid w:val="008C23B0"/>
    <w:rsid w:val="008C2AAD"/>
    <w:rsid w:val="008C35F3"/>
    <w:rsid w:val="008C39A2"/>
    <w:rsid w:val="008C5E5F"/>
    <w:rsid w:val="008C7AC9"/>
    <w:rsid w:val="008D1579"/>
    <w:rsid w:val="008D3244"/>
    <w:rsid w:val="008D3868"/>
    <w:rsid w:val="008D424F"/>
    <w:rsid w:val="008D50D9"/>
    <w:rsid w:val="008D5DC7"/>
    <w:rsid w:val="008D5FAB"/>
    <w:rsid w:val="008D7D83"/>
    <w:rsid w:val="008E0155"/>
    <w:rsid w:val="008E1351"/>
    <w:rsid w:val="008E483E"/>
    <w:rsid w:val="008E4ED9"/>
    <w:rsid w:val="008E64A6"/>
    <w:rsid w:val="008E7F89"/>
    <w:rsid w:val="008F7AC3"/>
    <w:rsid w:val="00900527"/>
    <w:rsid w:val="00901146"/>
    <w:rsid w:val="0090405F"/>
    <w:rsid w:val="0090468A"/>
    <w:rsid w:val="00905997"/>
    <w:rsid w:val="00905F01"/>
    <w:rsid w:val="0090737E"/>
    <w:rsid w:val="009079E4"/>
    <w:rsid w:val="009118AE"/>
    <w:rsid w:val="00911C48"/>
    <w:rsid w:val="009131B7"/>
    <w:rsid w:val="00916960"/>
    <w:rsid w:val="00916EC9"/>
    <w:rsid w:val="00920DAA"/>
    <w:rsid w:val="009222D4"/>
    <w:rsid w:val="00922C3E"/>
    <w:rsid w:val="009259C2"/>
    <w:rsid w:val="00925F97"/>
    <w:rsid w:val="0092747F"/>
    <w:rsid w:val="00927B8A"/>
    <w:rsid w:val="00932124"/>
    <w:rsid w:val="0093252A"/>
    <w:rsid w:val="009329AD"/>
    <w:rsid w:val="009354B8"/>
    <w:rsid w:val="00936627"/>
    <w:rsid w:val="00936B20"/>
    <w:rsid w:val="00937C79"/>
    <w:rsid w:val="00943761"/>
    <w:rsid w:val="009439E0"/>
    <w:rsid w:val="0094564A"/>
    <w:rsid w:val="00946AF2"/>
    <w:rsid w:val="009470A9"/>
    <w:rsid w:val="009500DB"/>
    <w:rsid w:val="00953E4A"/>
    <w:rsid w:val="00954503"/>
    <w:rsid w:val="00956FA9"/>
    <w:rsid w:val="0095709A"/>
    <w:rsid w:val="00957F52"/>
    <w:rsid w:val="00963FFB"/>
    <w:rsid w:val="00966F19"/>
    <w:rsid w:val="00971E8E"/>
    <w:rsid w:val="00974F97"/>
    <w:rsid w:val="00977EA9"/>
    <w:rsid w:val="00981EED"/>
    <w:rsid w:val="00982EDF"/>
    <w:rsid w:val="00983C81"/>
    <w:rsid w:val="00984BC7"/>
    <w:rsid w:val="00986294"/>
    <w:rsid w:val="009869E5"/>
    <w:rsid w:val="00987580"/>
    <w:rsid w:val="0099620D"/>
    <w:rsid w:val="009A04F1"/>
    <w:rsid w:val="009A06B9"/>
    <w:rsid w:val="009A13A4"/>
    <w:rsid w:val="009A1D8A"/>
    <w:rsid w:val="009A27CF"/>
    <w:rsid w:val="009A42B1"/>
    <w:rsid w:val="009A6208"/>
    <w:rsid w:val="009B0988"/>
    <w:rsid w:val="009B18DC"/>
    <w:rsid w:val="009B434A"/>
    <w:rsid w:val="009B47AE"/>
    <w:rsid w:val="009B4EE7"/>
    <w:rsid w:val="009B5CF8"/>
    <w:rsid w:val="009B63BB"/>
    <w:rsid w:val="009B7B5D"/>
    <w:rsid w:val="009C04FC"/>
    <w:rsid w:val="009C5AC4"/>
    <w:rsid w:val="009C623F"/>
    <w:rsid w:val="009D0CC2"/>
    <w:rsid w:val="009D5D1B"/>
    <w:rsid w:val="009D5D33"/>
    <w:rsid w:val="009D6809"/>
    <w:rsid w:val="009E0202"/>
    <w:rsid w:val="009E0837"/>
    <w:rsid w:val="009E2669"/>
    <w:rsid w:val="009E59E7"/>
    <w:rsid w:val="009E5AAA"/>
    <w:rsid w:val="009E657D"/>
    <w:rsid w:val="009E75D9"/>
    <w:rsid w:val="009E76EC"/>
    <w:rsid w:val="009F2C05"/>
    <w:rsid w:val="009F434D"/>
    <w:rsid w:val="009F68E9"/>
    <w:rsid w:val="00A00642"/>
    <w:rsid w:val="00A01C01"/>
    <w:rsid w:val="00A02261"/>
    <w:rsid w:val="00A027E1"/>
    <w:rsid w:val="00A058AF"/>
    <w:rsid w:val="00A077B0"/>
    <w:rsid w:val="00A10C47"/>
    <w:rsid w:val="00A11A96"/>
    <w:rsid w:val="00A11BEB"/>
    <w:rsid w:val="00A11DDF"/>
    <w:rsid w:val="00A1236F"/>
    <w:rsid w:val="00A13C6E"/>
    <w:rsid w:val="00A13EFA"/>
    <w:rsid w:val="00A14508"/>
    <w:rsid w:val="00A14F3A"/>
    <w:rsid w:val="00A174D6"/>
    <w:rsid w:val="00A2143F"/>
    <w:rsid w:val="00A23084"/>
    <w:rsid w:val="00A24106"/>
    <w:rsid w:val="00A2446A"/>
    <w:rsid w:val="00A2655E"/>
    <w:rsid w:val="00A26B6E"/>
    <w:rsid w:val="00A26CD6"/>
    <w:rsid w:val="00A27FCD"/>
    <w:rsid w:val="00A321E0"/>
    <w:rsid w:val="00A32787"/>
    <w:rsid w:val="00A32F09"/>
    <w:rsid w:val="00A33392"/>
    <w:rsid w:val="00A33B7F"/>
    <w:rsid w:val="00A35820"/>
    <w:rsid w:val="00A404D3"/>
    <w:rsid w:val="00A42A49"/>
    <w:rsid w:val="00A42DCC"/>
    <w:rsid w:val="00A42E99"/>
    <w:rsid w:val="00A42F50"/>
    <w:rsid w:val="00A456F2"/>
    <w:rsid w:val="00A45CA9"/>
    <w:rsid w:val="00A4676A"/>
    <w:rsid w:val="00A47671"/>
    <w:rsid w:val="00A47C78"/>
    <w:rsid w:val="00A505D4"/>
    <w:rsid w:val="00A5200A"/>
    <w:rsid w:val="00A52CCC"/>
    <w:rsid w:val="00A54A49"/>
    <w:rsid w:val="00A55B04"/>
    <w:rsid w:val="00A56BFA"/>
    <w:rsid w:val="00A57204"/>
    <w:rsid w:val="00A57C75"/>
    <w:rsid w:val="00A604A3"/>
    <w:rsid w:val="00A609CA"/>
    <w:rsid w:val="00A60EDA"/>
    <w:rsid w:val="00A61353"/>
    <w:rsid w:val="00A63908"/>
    <w:rsid w:val="00A64835"/>
    <w:rsid w:val="00A64952"/>
    <w:rsid w:val="00A66214"/>
    <w:rsid w:val="00A66A01"/>
    <w:rsid w:val="00A67BAD"/>
    <w:rsid w:val="00A73008"/>
    <w:rsid w:val="00A74817"/>
    <w:rsid w:val="00A751F4"/>
    <w:rsid w:val="00A80C79"/>
    <w:rsid w:val="00A816F9"/>
    <w:rsid w:val="00A82010"/>
    <w:rsid w:val="00A83075"/>
    <w:rsid w:val="00A83D8C"/>
    <w:rsid w:val="00A8560B"/>
    <w:rsid w:val="00A85A18"/>
    <w:rsid w:val="00A91CA4"/>
    <w:rsid w:val="00A91E0F"/>
    <w:rsid w:val="00A9240C"/>
    <w:rsid w:val="00A92CFC"/>
    <w:rsid w:val="00A950B7"/>
    <w:rsid w:val="00A9532E"/>
    <w:rsid w:val="00AA046D"/>
    <w:rsid w:val="00AA16F1"/>
    <w:rsid w:val="00AA1C00"/>
    <w:rsid w:val="00AA2CBD"/>
    <w:rsid w:val="00AA2D94"/>
    <w:rsid w:val="00AA3804"/>
    <w:rsid w:val="00AA4E0D"/>
    <w:rsid w:val="00AA548D"/>
    <w:rsid w:val="00AA6046"/>
    <w:rsid w:val="00AA6E13"/>
    <w:rsid w:val="00AB0659"/>
    <w:rsid w:val="00AB2569"/>
    <w:rsid w:val="00AB3A15"/>
    <w:rsid w:val="00AB3BB8"/>
    <w:rsid w:val="00AB4917"/>
    <w:rsid w:val="00AB5ACA"/>
    <w:rsid w:val="00AC23CF"/>
    <w:rsid w:val="00AC3D00"/>
    <w:rsid w:val="00AC4093"/>
    <w:rsid w:val="00AC5719"/>
    <w:rsid w:val="00AC5B82"/>
    <w:rsid w:val="00AC5DD1"/>
    <w:rsid w:val="00AC6901"/>
    <w:rsid w:val="00AD0F89"/>
    <w:rsid w:val="00AD213E"/>
    <w:rsid w:val="00AD3BD3"/>
    <w:rsid w:val="00AD408F"/>
    <w:rsid w:val="00AD41BD"/>
    <w:rsid w:val="00AD4EE4"/>
    <w:rsid w:val="00AD7018"/>
    <w:rsid w:val="00AE0820"/>
    <w:rsid w:val="00AE0A14"/>
    <w:rsid w:val="00AE3304"/>
    <w:rsid w:val="00AE6A21"/>
    <w:rsid w:val="00AE70E5"/>
    <w:rsid w:val="00AE7A78"/>
    <w:rsid w:val="00AE7EF7"/>
    <w:rsid w:val="00AF1E6B"/>
    <w:rsid w:val="00AF2B85"/>
    <w:rsid w:val="00AF422D"/>
    <w:rsid w:val="00AF42C0"/>
    <w:rsid w:val="00AF70BD"/>
    <w:rsid w:val="00AF78F5"/>
    <w:rsid w:val="00B00043"/>
    <w:rsid w:val="00B00332"/>
    <w:rsid w:val="00B0132E"/>
    <w:rsid w:val="00B01492"/>
    <w:rsid w:val="00B01CE4"/>
    <w:rsid w:val="00B03A84"/>
    <w:rsid w:val="00B04045"/>
    <w:rsid w:val="00B04789"/>
    <w:rsid w:val="00B068FC"/>
    <w:rsid w:val="00B11B3D"/>
    <w:rsid w:val="00B140DB"/>
    <w:rsid w:val="00B1413B"/>
    <w:rsid w:val="00B14559"/>
    <w:rsid w:val="00B204CD"/>
    <w:rsid w:val="00B22580"/>
    <w:rsid w:val="00B22906"/>
    <w:rsid w:val="00B234B6"/>
    <w:rsid w:val="00B24FF6"/>
    <w:rsid w:val="00B256F0"/>
    <w:rsid w:val="00B25F1C"/>
    <w:rsid w:val="00B26E76"/>
    <w:rsid w:val="00B2726C"/>
    <w:rsid w:val="00B27353"/>
    <w:rsid w:val="00B27945"/>
    <w:rsid w:val="00B33709"/>
    <w:rsid w:val="00B348C6"/>
    <w:rsid w:val="00B356F0"/>
    <w:rsid w:val="00B362CE"/>
    <w:rsid w:val="00B37E56"/>
    <w:rsid w:val="00B40C11"/>
    <w:rsid w:val="00B40EAC"/>
    <w:rsid w:val="00B43C5C"/>
    <w:rsid w:val="00B43E1C"/>
    <w:rsid w:val="00B447E8"/>
    <w:rsid w:val="00B4516F"/>
    <w:rsid w:val="00B468E0"/>
    <w:rsid w:val="00B47C2B"/>
    <w:rsid w:val="00B509B7"/>
    <w:rsid w:val="00B51EAB"/>
    <w:rsid w:val="00B53B01"/>
    <w:rsid w:val="00B55A9F"/>
    <w:rsid w:val="00B570E2"/>
    <w:rsid w:val="00B57999"/>
    <w:rsid w:val="00B622F7"/>
    <w:rsid w:val="00B637FF"/>
    <w:rsid w:val="00B648FE"/>
    <w:rsid w:val="00B64B16"/>
    <w:rsid w:val="00B6566F"/>
    <w:rsid w:val="00B66BAC"/>
    <w:rsid w:val="00B710BB"/>
    <w:rsid w:val="00B74082"/>
    <w:rsid w:val="00B74C35"/>
    <w:rsid w:val="00B75F36"/>
    <w:rsid w:val="00B804C9"/>
    <w:rsid w:val="00B8299E"/>
    <w:rsid w:val="00B82B05"/>
    <w:rsid w:val="00B83032"/>
    <w:rsid w:val="00B841F7"/>
    <w:rsid w:val="00B85BA0"/>
    <w:rsid w:val="00B85E20"/>
    <w:rsid w:val="00B8681D"/>
    <w:rsid w:val="00B91150"/>
    <w:rsid w:val="00B91358"/>
    <w:rsid w:val="00B929D3"/>
    <w:rsid w:val="00B93AB7"/>
    <w:rsid w:val="00B9405D"/>
    <w:rsid w:val="00B943B7"/>
    <w:rsid w:val="00B94865"/>
    <w:rsid w:val="00B96A3B"/>
    <w:rsid w:val="00B96FE1"/>
    <w:rsid w:val="00B97C05"/>
    <w:rsid w:val="00BA0848"/>
    <w:rsid w:val="00BA22EB"/>
    <w:rsid w:val="00BA2408"/>
    <w:rsid w:val="00BA2856"/>
    <w:rsid w:val="00BA2FBC"/>
    <w:rsid w:val="00BA5F1B"/>
    <w:rsid w:val="00BA5F5E"/>
    <w:rsid w:val="00BA611F"/>
    <w:rsid w:val="00BB2516"/>
    <w:rsid w:val="00BB27B4"/>
    <w:rsid w:val="00BB29FE"/>
    <w:rsid w:val="00BB3502"/>
    <w:rsid w:val="00BB3D34"/>
    <w:rsid w:val="00BB3FD3"/>
    <w:rsid w:val="00BB4CA3"/>
    <w:rsid w:val="00BB5794"/>
    <w:rsid w:val="00BB7555"/>
    <w:rsid w:val="00BB7A58"/>
    <w:rsid w:val="00BC0D0A"/>
    <w:rsid w:val="00BC1DAD"/>
    <w:rsid w:val="00BC1F14"/>
    <w:rsid w:val="00BC3832"/>
    <w:rsid w:val="00BC425E"/>
    <w:rsid w:val="00BC5E85"/>
    <w:rsid w:val="00BC622E"/>
    <w:rsid w:val="00BC6C44"/>
    <w:rsid w:val="00BC7B81"/>
    <w:rsid w:val="00BD0370"/>
    <w:rsid w:val="00BD24C0"/>
    <w:rsid w:val="00BD2906"/>
    <w:rsid w:val="00BD354E"/>
    <w:rsid w:val="00BD377D"/>
    <w:rsid w:val="00BD5377"/>
    <w:rsid w:val="00BD57B7"/>
    <w:rsid w:val="00BD6563"/>
    <w:rsid w:val="00BD691D"/>
    <w:rsid w:val="00BD751F"/>
    <w:rsid w:val="00BD7AAB"/>
    <w:rsid w:val="00BD7CDC"/>
    <w:rsid w:val="00BE06F2"/>
    <w:rsid w:val="00BE1601"/>
    <w:rsid w:val="00BE1EBA"/>
    <w:rsid w:val="00BE2890"/>
    <w:rsid w:val="00BE4367"/>
    <w:rsid w:val="00BE6722"/>
    <w:rsid w:val="00BE7AFF"/>
    <w:rsid w:val="00BE7E50"/>
    <w:rsid w:val="00BF0668"/>
    <w:rsid w:val="00BF093C"/>
    <w:rsid w:val="00BF0CF9"/>
    <w:rsid w:val="00BF0E07"/>
    <w:rsid w:val="00BF10BA"/>
    <w:rsid w:val="00BF1EC1"/>
    <w:rsid w:val="00BF22FD"/>
    <w:rsid w:val="00BF2828"/>
    <w:rsid w:val="00BF29B5"/>
    <w:rsid w:val="00BF2BA6"/>
    <w:rsid w:val="00BF7237"/>
    <w:rsid w:val="00BF7E07"/>
    <w:rsid w:val="00C02466"/>
    <w:rsid w:val="00C072B4"/>
    <w:rsid w:val="00C1058F"/>
    <w:rsid w:val="00C12C32"/>
    <w:rsid w:val="00C13549"/>
    <w:rsid w:val="00C1354E"/>
    <w:rsid w:val="00C147DF"/>
    <w:rsid w:val="00C15F70"/>
    <w:rsid w:val="00C16401"/>
    <w:rsid w:val="00C1694D"/>
    <w:rsid w:val="00C1740F"/>
    <w:rsid w:val="00C1745B"/>
    <w:rsid w:val="00C17D13"/>
    <w:rsid w:val="00C17D9F"/>
    <w:rsid w:val="00C17E33"/>
    <w:rsid w:val="00C17F09"/>
    <w:rsid w:val="00C20B16"/>
    <w:rsid w:val="00C21AB9"/>
    <w:rsid w:val="00C21DE7"/>
    <w:rsid w:val="00C2256D"/>
    <w:rsid w:val="00C25080"/>
    <w:rsid w:val="00C25325"/>
    <w:rsid w:val="00C255CD"/>
    <w:rsid w:val="00C25D11"/>
    <w:rsid w:val="00C26840"/>
    <w:rsid w:val="00C270DD"/>
    <w:rsid w:val="00C27ADD"/>
    <w:rsid w:val="00C31229"/>
    <w:rsid w:val="00C341CA"/>
    <w:rsid w:val="00C34C72"/>
    <w:rsid w:val="00C357A4"/>
    <w:rsid w:val="00C36834"/>
    <w:rsid w:val="00C3780A"/>
    <w:rsid w:val="00C37971"/>
    <w:rsid w:val="00C40B32"/>
    <w:rsid w:val="00C40E99"/>
    <w:rsid w:val="00C42E4B"/>
    <w:rsid w:val="00C44337"/>
    <w:rsid w:val="00C44782"/>
    <w:rsid w:val="00C44C72"/>
    <w:rsid w:val="00C45252"/>
    <w:rsid w:val="00C45A2F"/>
    <w:rsid w:val="00C461DA"/>
    <w:rsid w:val="00C513E6"/>
    <w:rsid w:val="00C5216E"/>
    <w:rsid w:val="00C54894"/>
    <w:rsid w:val="00C54B7F"/>
    <w:rsid w:val="00C54D90"/>
    <w:rsid w:val="00C56771"/>
    <w:rsid w:val="00C6090A"/>
    <w:rsid w:val="00C61073"/>
    <w:rsid w:val="00C637F8"/>
    <w:rsid w:val="00C6553A"/>
    <w:rsid w:val="00C65E94"/>
    <w:rsid w:val="00C66124"/>
    <w:rsid w:val="00C662A7"/>
    <w:rsid w:val="00C663EB"/>
    <w:rsid w:val="00C6641B"/>
    <w:rsid w:val="00C672FF"/>
    <w:rsid w:val="00C72BBC"/>
    <w:rsid w:val="00C72FA4"/>
    <w:rsid w:val="00C731DE"/>
    <w:rsid w:val="00C74367"/>
    <w:rsid w:val="00C74770"/>
    <w:rsid w:val="00C771A8"/>
    <w:rsid w:val="00C80C58"/>
    <w:rsid w:val="00C85417"/>
    <w:rsid w:val="00C874AD"/>
    <w:rsid w:val="00C8765C"/>
    <w:rsid w:val="00C90886"/>
    <w:rsid w:val="00C926F2"/>
    <w:rsid w:val="00C92C6B"/>
    <w:rsid w:val="00C96167"/>
    <w:rsid w:val="00CA0BD0"/>
    <w:rsid w:val="00CA136C"/>
    <w:rsid w:val="00CA1EE8"/>
    <w:rsid w:val="00CA2B2A"/>
    <w:rsid w:val="00CA313C"/>
    <w:rsid w:val="00CA3429"/>
    <w:rsid w:val="00CA49AA"/>
    <w:rsid w:val="00CA4E64"/>
    <w:rsid w:val="00CA55A9"/>
    <w:rsid w:val="00CA6114"/>
    <w:rsid w:val="00CA6C5C"/>
    <w:rsid w:val="00CA7293"/>
    <w:rsid w:val="00CA7CDB"/>
    <w:rsid w:val="00CB1383"/>
    <w:rsid w:val="00CB13E4"/>
    <w:rsid w:val="00CB1515"/>
    <w:rsid w:val="00CB2CF5"/>
    <w:rsid w:val="00CB63D6"/>
    <w:rsid w:val="00CB6A0E"/>
    <w:rsid w:val="00CB7333"/>
    <w:rsid w:val="00CC286C"/>
    <w:rsid w:val="00CC3D3A"/>
    <w:rsid w:val="00CC431D"/>
    <w:rsid w:val="00CC5555"/>
    <w:rsid w:val="00CC5C41"/>
    <w:rsid w:val="00CC71E4"/>
    <w:rsid w:val="00CD0155"/>
    <w:rsid w:val="00CD09F5"/>
    <w:rsid w:val="00CD13B8"/>
    <w:rsid w:val="00CD2FE8"/>
    <w:rsid w:val="00CD42C0"/>
    <w:rsid w:val="00CD4717"/>
    <w:rsid w:val="00CD5781"/>
    <w:rsid w:val="00CD6C20"/>
    <w:rsid w:val="00CD730E"/>
    <w:rsid w:val="00CE04BD"/>
    <w:rsid w:val="00CE06AC"/>
    <w:rsid w:val="00CE27AC"/>
    <w:rsid w:val="00CE27BC"/>
    <w:rsid w:val="00CE36AA"/>
    <w:rsid w:val="00CE54CF"/>
    <w:rsid w:val="00CE712B"/>
    <w:rsid w:val="00CF1709"/>
    <w:rsid w:val="00CF228D"/>
    <w:rsid w:val="00CF30B6"/>
    <w:rsid w:val="00CF31FC"/>
    <w:rsid w:val="00CF345D"/>
    <w:rsid w:val="00CF4061"/>
    <w:rsid w:val="00CF475B"/>
    <w:rsid w:val="00CF4ED4"/>
    <w:rsid w:val="00CF7FA4"/>
    <w:rsid w:val="00D015CC"/>
    <w:rsid w:val="00D018CF"/>
    <w:rsid w:val="00D033A9"/>
    <w:rsid w:val="00D04E9C"/>
    <w:rsid w:val="00D05623"/>
    <w:rsid w:val="00D05706"/>
    <w:rsid w:val="00D07A3B"/>
    <w:rsid w:val="00D10DE7"/>
    <w:rsid w:val="00D11E71"/>
    <w:rsid w:val="00D12925"/>
    <w:rsid w:val="00D12944"/>
    <w:rsid w:val="00D13B21"/>
    <w:rsid w:val="00D14786"/>
    <w:rsid w:val="00D14EEB"/>
    <w:rsid w:val="00D1634D"/>
    <w:rsid w:val="00D20645"/>
    <w:rsid w:val="00D21189"/>
    <w:rsid w:val="00D24866"/>
    <w:rsid w:val="00D257F6"/>
    <w:rsid w:val="00D26725"/>
    <w:rsid w:val="00D26CFF"/>
    <w:rsid w:val="00D30536"/>
    <w:rsid w:val="00D30648"/>
    <w:rsid w:val="00D3158E"/>
    <w:rsid w:val="00D32092"/>
    <w:rsid w:val="00D3278B"/>
    <w:rsid w:val="00D40B10"/>
    <w:rsid w:val="00D41C32"/>
    <w:rsid w:val="00D42413"/>
    <w:rsid w:val="00D4255F"/>
    <w:rsid w:val="00D43F4F"/>
    <w:rsid w:val="00D45E4D"/>
    <w:rsid w:val="00D45E57"/>
    <w:rsid w:val="00D500EB"/>
    <w:rsid w:val="00D50D4A"/>
    <w:rsid w:val="00D50DD7"/>
    <w:rsid w:val="00D51B07"/>
    <w:rsid w:val="00D52839"/>
    <w:rsid w:val="00D53E45"/>
    <w:rsid w:val="00D552AE"/>
    <w:rsid w:val="00D5618C"/>
    <w:rsid w:val="00D56774"/>
    <w:rsid w:val="00D571C4"/>
    <w:rsid w:val="00D5733F"/>
    <w:rsid w:val="00D57554"/>
    <w:rsid w:val="00D6170B"/>
    <w:rsid w:val="00D62885"/>
    <w:rsid w:val="00D62B4A"/>
    <w:rsid w:val="00D6304B"/>
    <w:rsid w:val="00D65ED4"/>
    <w:rsid w:val="00D70A86"/>
    <w:rsid w:val="00D70C29"/>
    <w:rsid w:val="00D7132D"/>
    <w:rsid w:val="00D7175F"/>
    <w:rsid w:val="00D71ACB"/>
    <w:rsid w:val="00D73B6F"/>
    <w:rsid w:val="00D7400A"/>
    <w:rsid w:val="00D7429E"/>
    <w:rsid w:val="00D7492E"/>
    <w:rsid w:val="00D7694B"/>
    <w:rsid w:val="00D80FA5"/>
    <w:rsid w:val="00D815D9"/>
    <w:rsid w:val="00D819B9"/>
    <w:rsid w:val="00D8220E"/>
    <w:rsid w:val="00D841E9"/>
    <w:rsid w:val="00D84CCD"/>
    <w:rsid w:val="00D85C8A"/>
    <w:rsid w:val="00D86651"/>
    <w:rsid w:val="00D86706"/>
    <w:rsid w:val="00D90BF0"/>
    <w:rsid w:val="00D9296A"/>
    <w:rsid w:val="00D9383C"/>
    <w:rsid w:val="00D952FA"/>
    <w:rsid w:val="00D9534F"/>
    <w:rsid w:val="00D96BA0"/>
    <w:rsid w:val="00D97E92"/>
    <w:rsid w:val="00DA0F66"/>
    <w:rsid w:val="00DA101F"/>
    <w:rsid w:val="00DA16EC"/>
    <w:rsid w:val="00DA2169"/>
    <w:rsid w:val="00DA3312"/>
    <w:rsid w:val="00DA413B"/>
    <w:rsid w:val="00DA4577"/>
    <w:rsid w:val="00DB0632"/>
    <w:rsid w:val="00DB0CC9"/>
    <w:rsid w:val="00DB29CF"/>
    <w:rsid w:val="00DB360A"/>
    <w:rsid w:val="00DB3D80"/>
    <w:rsid w:val="00DB4815"/>
    <w:rsid w:val="00DB4A26"/>
    <w:rsid w:val="00DB571D"/>
    <w:rsid w:val="00DB6681"/>
    <w:rsid w:val="00DB6A2E"/>
    <w:rsid w:val="00DC0B12"/>
    <w:rsid w:val="00DC15B5"/>
    <w:rsid w:val="00DC22E4"/>
    <w:rsid w:val="00DC2A27"/>
    <w:rsid w:val="00DC3281"/>
    <w:rsid w:val="00DC4A5C"/>
    <w:rsid w:val="00DC5C8E"/>
    <w:rsid w:val="00DC7293"/>
    <w:rsid w:val="00DD08C8"/>
    <w:rsid w:val="00DD1D20"/>
    <w:rsid w:val="00DD1ED0"/>
    <w:rsid w:val="00DD269F"/>
    <w:rsid w:val="00DD51D8"/>
    <w:rsid w:val="00DD5234"/>
    <w:rsid w:val="00DD56B9"/>
    <w:rsid w:val="00DD66B3"/>
    <w:rsid w:val="00DD761D"/>
    <w:rsid w:val="00DE11E0"/>
    <w:rsid w:val="00DE4377"/>
    <w:rsid w:val="00DE5F6C"/>
    <w:rsid w:val="00DE6DBD"/>
    <w:rsid w:val="00DE6E7D"/>
    <w:rsid w:val="00DF06E2"/>
    <w:rsid w:val="00DF1A88"/>
    <w:rsid w:val="00DF3BE9"/>
    <w:rsid w:val="00DF40D5"/>
    <w:rsid w:val="00DF4CC6"/>
    <w:rsid w:val="00DF5984"/>
    <w:rsid w:val="00DF6556"/>
    <w:rsid w:val="00DF65EB"/>
    <w:rsid w:val="00DF6A34"/>
    <w:rsid w:val="00DF7E37"/>
    <w:rsid w:val="00E02058"/>
    <w:rsid w:val="00E029AB"/>
    <w:rsid w:val="00E06E71"/>
    <w:rsid w:val="00E06F0A"/>
    <w:rsid w:val="00E07672"/>
    <w:rsid w:val="00E07AD9"/>
    <w:rsid w:val="00E125CF"/>
    <w:rsid w:val="00E12679"/>
    <w:rsid w:val="00E13115"/>
    <w:rsid w:val="00E133CA"/>
    <w:rsid w:val="00E162C6"/>
    <w:rsid w:val="00E203F0"/>
    <w:rsid w:val="00E20651"/>
    <w:rsid w:val="00E22EB8"/>
    <w:rsid w:val="00E25C6C"/>
    <w:rsid w:val="00E266AB"/>
    <w:rsid w:val="00E26BA5"/>
    <w:rsid w:val="00E30ED2"/>
    <w:rsid w:val="00E32458"/>
    <w:rsid w:val="00E3331C"/>
    <w:rsid w:val="00E3595B"/>
    <w:rsid w:val="00E420B7"/>
    <w:rsid w:val="00E447DE"/>
    <w:rsid w:val="00E45090"/>
    <w:rsid w:val="00E46344"/>
    <w:rsid w:val="00E467E4"/>
    <w:rsid w:val="00E46C60"/>
    <w:rsid w:val="00E5155A"/>
    <w:rsid w:val="00E5360C"/>
    <w:rsid w:val="00E5721A"/>
    <w:rsid w:val="00E5756D"/>
    <w:rsid w:val="00E61846"/>
    <w:rsid w:val="00E63C68"/>
    <w:rsid w:val="00E654D8"/>
    <w:rsid w:val="00E65C3C"/>
    <w:rsid w:val="00E65F09"/>
    <w:rsid w:val="00E66B00"/>
    <w:rsid w:val="00E71B3B"/>
    <w:rsid w:val="00E751DC"/>
    <w:rsid w:val="00E75FF0"/>
    <w:rsid w:val="00E763A8"/>
    <w:rsid w:val="00E76BE5"/>
    <w:rsid w:val="00E76E67"/>
    <w:rsid w:val="00E80AF0"/>
    <w:rsid w:val="00E80FD3"/>
    <w:rsid w:val="00E823D0"/>
    <w:rsid w:val="00E839EA"/>
    <w:rsid w:val="00E90FE4"/>
    <w:rsid w:val="00E913B1"/>
    <w:rsid w:val="00E948B3"/>
    <w:rsid w:val="00E94EB8"/>
    <w:rsid w:val="00E95213"/>
    <w:rsid w:val="00E95613"/>
    <w:rsid w:val="00E95D14"/>
    <w:rsid w:val="00E973ED"/>
    <w:rsid w:val="00EA106D"/>
    <w:rsid w:val="00EA3122"/>
    <w:rsid w:val="00EA3D5D"/>
    <w:rsid w:val="00EA569C"/>
    <w:rsid w:val="00EB0F78"/>
    <w:rsid w:val="00EB1297"/>
    <w:rsid w:val="00EB292E"/>
    <w:rsid w:val="00EB4E31"/>
    <w:rsid w:val="00EB54AB"/>
    <w:rsid w:val="00EB7335"/>
    <w:rsid w:val="00EC028E"/>
    <w:rsid w:val="00EC1A2A"/>
    <w:rsid w:val="00EC253B"/>
    <w:rsid w:val="00EC2B68"/>
    <w:rsid w:val="00EC3BAA"/>
    <w:rsid w:val="00EC56DB"/>
    <w:rsid w:val="00EC58D0"/>
    <w:rsid w:val="00EC6ADC"/>
    <w:rsid w:val="00ED0306"/>
    <w:rsid w:val="00ED1093"/>
    <w:rsid w:val="00ED322A"/>
    <w:rsid w:val="00ED4844"/>
    <w:rsid w:val="00ED4937"/>
    <w:rsid w:val="00ED5572"/>
    <w:rsid w:val="00ED64F9"/>
    <w:rsid w:val="00ED7CB5"/>
    <w:rsid w:val="00EE1DF5"/>
    <w:rsid w:val="00EE283D"/>
    <w:rsid w:val="00EE3782"/>
    <w:rsid w:val="00EE4AAE"/>
    <w:rsid w:val="00EE63FD"/>
    <w:rsid w:val="00EE65FF"/>
    <w:rsid w:val="00EE7CC0"/>
    <w:rsid w:val="00EF04BB"/>
    <w:rsid w:val="00EF07D4"/>
    <w:rsid w:val="00EF22BF"/>
    <w:rsid w:val="00EF3B37"/>
    <w:rsid w:val="00EF48C5"/>
    <w:rsid w:val="00EF4938"/>
    <w:rsid w:val="00EF4C7C"/>
    <w:rsid w:val="00EF4DF0"/>
    <w:rsid w:val="00EF5522"/>
    <w:rsid w:val="00EF6AAD"/>
    <w:rsid w:val="00F02777"/>
    <w:rsid w:val="00F02F69"/>
    <w:rsid w:val="00F03223"/>
    <w:rsid w:val="00F03453"/>
    <w:rsid w:val="00F05884"/>
    <w:rsid w:val="00F05AC0"/>
    <w:rsid w:val="00F06F18"/>
    <w:rsid w:val="00F07F90"/>
    <w:rsid w:val="00F100DD"/>
    <w:rsid w:val="00F11540"/>
    <w:rsid w:val="00F1212C"/>
    <w:rsid w:val="00F14DA2"/>
    <w:rsid w:val="00F1503A"/>
    <w:rsid w:val="00F160C0"/>
    <w:rsid w:val="00F1615F"/>
    <w:rsid w:val="00F23F09"/>
    <w:rsid w:val="00F24CAF"/>
    <w:rsid w:val="00F30327"/>
    <w:rsid w:val="00F3118C"/>
    <w:rsid w:val="00F3124E"/>
    <w:rsid w:val="00F324AC"/>
    <w:rsid w:val="00F32521"/>
    <w:rsid w:val="00F37DB9"/>
    <w:rsid w:val="00F40326"/>
    <w:rsid w:val="00F44B2F"/>
    <w:rsid w:val="00F45D0D"/>
    <w:rsid w:val="00F51C22"/>
    <w:rsid w:val="00F5236B"/>
    <w:rsid w:val="00F52B67"/>
    <w:rsid w:val="00F5300F"/>
    <w:rsid w:val="00F53CB7"/>
    <w:rsid w:val="00F56234"/>
    <w:rsid w:val="00F56C26"/>
    <w:rsid w:val="00F6104A"/>
    <w:rsid w:val="00F620CC"/>
    <w:rsid w:val="00F624E7"/>
    <w:rsid w:val="00F626FD"/>
    <w:rsid w:val="00F64EBF"/>
    <w:rsid w:val="00F65014"/>
    <w:rsid w:val="00F65556"/>
    <w:rsid w:val="00F6675C"/>
    <w:rsid w:val="00F6753B"/>
    <w:rsid w:val="00F71A14"/>
    <w:rsid w:val="00F73CD5"/>
    <w:rsid w:val="00F7466F"/>
    <w:rsid w:val="00F74833"/>
    <w:rsid w:val="00F7497A"/>
    <w:rsid w:val="00F75953"/>
    <w:rsid w:val="00F75D6A"/>
    <w:rsid w:val="00F76DB0"/>
    <w:rsid w:val="00F7760F"/>
    <w:rsid w:val="00F81004"/>
    <w:rsid w:val="00F81EEE"/>
    <w:rsid w:val="00F822F9"/>
    <w:rsid w:val="00F827CC"/>
    <w:rsid w:val="00F82A17"/>
    <w:rsid w:val="00F85123"/>
    <w:rsid w:val="00F86E1A"/>
    <w:rsid w:val="00F872BF"/>
    <w:rsid w:val="00F9314D"/>
    <w:rsid w:val="00F94420"/>
    <w:rsid w:val="00F946D2"/>
    <w:rsid w:val="00F96C9E"/>
    <w:rsid w:val="00F9721E"/>
    <w:rsid w:val="00F97233"/>
    <w:rsid w:val="00F97CDE"/>
    <w:rsid w:val="00FA07B7"/>
    <w:rsid w:val="00FA1484"/>
    <w:rsid w:val="00FA19C0"/>
    <w:rsid w:val="00FA41A7"/>
    <w:rsid w:val="00FA43CE"/>
    <w:rsid w:val="00FA4576"/>
    <w:rsid w:val="00FA5216"/>
    <w:rsid w:val="00FA5638"/>
    <w:rsid w:val="00FA5C03"/>
    <w:rsid w:val="00FA5EB1"/>
    <w:rsid w:val="00FA641C"/>
    <w:rsid w:val="00FA6EC2"/>
    <w:rsid w:val="00FA757A"/>
    <w:rsid w:val="00FB0611"/>
    <w:rsid w:val="00FB16CB"/>
    <w:rsid w:val="00FB1AB1"/>
    <w:rsid w:val="00FB1D4A"/>
    <w:rsid w:val="00FB1E38"/>
    <w:rsid w:val="00FB23C6"/>
    <w:rsid w:val="00FB3203"/>
    <w:rsid w:val="00FB32FF"/>
    <w:rsid w:val="00FB3A5A"/>
    <w:rsid w:val="00FB57F2"/>
    <w:rsid w:val="00FB5A74"/>
    <w:rsid w:val="00FB6949"/>
    <w:rsid w:val="00FB6A70"/>
    <w:rsid w:val="00FC109E"/>
    <w:rsid w:val="00FC1CE8"/>
    <w:rsid w:val="00FC2AF8"/>
    <w:rsid w:val="00FC2C69"/>
    <w:rsid w:val="00FC2FBE"/>
    <w:rsid w:val="00FC3225"/>
    <w:rsid w:val="00FC32FF"/>
    <w:rsid w:val="00FC3E4D"/>
    <w:rsid w:val="00FC44B1"/>
    <w:rsid w:val="00FC53F0"/>
    <w:rsid w:val="00FC5F25"/>
    <w:rsid w:val="00FC61D5"/>
    <w:rsid w:val="00FD025C"/>
    <w:rsid w:val="00FD125C"/>
    <w:rsid w:val="00FD2E2B"/>
    <w:rsid w:val="00FD5F3A"/>
    <w:rsid w:val="00FD6303"/>
    <w:rsid w:val="00FD657D"/>
    <w:rsid w:val="00FD65E0"/>
    <w:rsid w:val="00FD705E"/>
    <w:rsid w:val="00FD72AE"/>
    <w:rsid w:val="00FE21B2"/>
    <w:rsid w:val="00FE2680"/>
    <w:rsid w:val="00FE2C19"/>
    <w:rsid w:val="00FE2C27"/>
    <w:rsid w:val="00FE48C8"/>
    <w:rsid w:val="00FE50DB"/>
    <w:rsid w:val="00FE5801"/>
    <w:rsid w:val="00FE7543"/>
    <w:rsid w:val="00FE7D45"/>
    <w:rsid w:val="00FF0639"/>
    <w:rsid w:val="00FF3292"/>
    <w:rsid w:val="00FF35E4"/>
    <w:rsid w:val="00FF3EB1"/>
    <w:rsid w:val="00FF4E8A"/>
    <w:rsid w:val="00FF76D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C4E6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2">
    <w:name w:val="heading 2"/>
    <w:basedOn w:val="Normal"/>
    <w:qFormat/>
    <w:rsid w:val="0032728A"/>
    <w:pPr>
      <w:spacing w:before="100" w:beforeAutospacing="1" w:after="100" w:afterAutospacing="1"/>
      <w:outlineLvl w:val="1"/>
    </w:pPr>
    <w:rPr>
      <w:rFonts w:ascii="Times New Roman" w:hAnsi="Times New Roman"/>
      <w:b/>
      <w:bCs/>
      <w:sz w:val="36"/>
      <w:szCs w:val="36"/>
    </w:rPr>
  </w:style>
  <w:style w:type="paragraph" w:styleId="Heading3">
    <w:name w:val="heading 3"/>
    <w:basedOn w:val="Normal"/>
    <w:qFormat/>
    <w:rsid w:val="00E80AF0"/>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102D77"/>
    <w:pPr>
      <w:pBdr>
        <w:bottom w:val="single" w:sz="6" w:space="1" w:color="auto"/>
      </w:pBdr>
      <w:jc w:val="center"/>
    </w:pPr>
    <w:rPr>
      <w:rFonts w:cs="Arial"/>
      <w:vanish/>
      <w:sz w:val="16"/>
      <w:szCs w:val="16"/>
    </w:rPr>
  </w:style>
  <w:style w:type="paragraph" w:styleId="z-BottomofForm">
    <w:name w:val="HTML Bottom of Form"/>
    <w:basedOn w:val="Normal"/>
    <w:next w:val="Normal"/>
    <w:hidden/>
    <w:rsid w:val="00102D77"/>
    <w:pPr>
      <w:pBdr>
        <w:top w:val="single" w:sz="6" w:space="1" w:color="auto"/>
      </w:pBdr>
      <w:jc w:val="center"/>
    </w:pPr>
    <w:rPr>
      <w:rFonts w:cs="Arial"/>
      <w:vanish/>
      <w:sz w:val="16"/>
      <w:szCs w:val="16"/>
    </w:rPr>
  </w:style>
  <w:style w:type="paragraph" w:styleId="FootnoteText">
    <w:name w:val="footnote text"/>
    <w:basedOn w:val="Normal"/>
    <w:link w:val="FootnoteTextChar"/>
    <w:uiPriority w:val="99"/>
    <w:semiHidden/>
    <w:rsid w:val="002F1CEC"/>
    <w:rPr>
      <w:sz w:val="20"/>
      <w:szCs w:val="20"/>
    </w:rPr>
  </w:style>
  <w:style w:type="character" w:styleId="FootnoteReference">
    <w:name w:val="footnote reference"/>
    <w:uiPriority w:val="99"/>
    <w:semiHidden/>
    <w:rsid w:val="002F1CEC"/>
    <w:rPr>
      <w:vertAlign w:val="superscript"/>
    </w:rPr>
  </w:style>
  <w:style w:type="character" w:styleId="CommentReference">
    <w:name w:val="annotation reference"/>
    <w:uiPriority w:val="99"/>
    <w:semiHidden/>
    <w:rsid w:val="0083523A"/>
    <w:rPr>
      <w:sz w:val="16"/>
      <w:szCs w:val="16"/>
    </w:rPr>
  </w:style>
  <w:style w:type="paragraph" w:styleId="CommentText">
    <w:name w:val="annotation text"/>
    <w:basedOn w:val="Normal"/>
    <w:link w:val="CommentTextChar"/>
    <w:uiPriority w:val="99"/>
    <w:rsid w:val="0083523A"/>
    <w:rPr>
      <w:sz w:val="20"/>
      <w:szCs w:val="20"/>
    </w:rPr>
  </w:style>
  <w:style w:type="paragraph" w:styleId="CommentSubject">
    <w:name w:val="annotation subject"/>
    <w:basedOn w:val="CommentText"/>
    <w:next w:val="CommentText"/>
    <w:semiHidden/>
    <w:rsid w:val="0083523A"/>
    <w:rPr>
      <w:b/>
      <w:bCs/>
    </w:rPr>
  </w:style>
  <w:style w:type="paragraph" w:styleId="BalloonText">
    <w:name w:val="Balloon Text"/>
    <w:basedOn w:val="Normal"/>
    <w:semiHidden/>
    <w:rsid w:val="0083523A"/>
    <w:rPr>
      <w:rFonts w:ascii="Tahoma" w:hAnsi="Tahoma"/>
      <w:sz w:val="16"/>
      <w:szCs w:val="16"/>
    </w:rPr>
  </w:style>
  <w:style w:type="table" w:styleId="TableGrid">
    <w:name w:val="Table Grid"/>
    <w:basedOn w:val="TableNormal"/>
    <w:rsid w:val="0051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D26FF"/>
    <w:pPr>
      <w:jc w:val="center"/>
    </w:pPr>
    <w:rPr>
      <w:rFonts w:cs="Arial"/>
      <w:noProof/>
    </w:rPr>
  </w:style>
  <w:style w:type="character" w:customStyle="1" w:styleId="EndNoteBibliographyTitleChar">
    <w:name w:val="EndNote Bibliography Title Char"/>
    <w:basedOn w:val="DefaultParagraphFont"/>
    <w:link w:val="EndNoteBibliographyTitle"/>
    <w:rsid w:val="000D26FF"/>
    <w:rPr>
      <w:rFonts w:ascii="Arial" w:hAnsi="Arial" w:cs="Arial"/>
      <w:noProof/>
      <w:sz w:val="24"/>
      <w:szCs w:val="24"/>
      <w:lang w:val="en-US" w:eastAsia="en-US"/>
    </w:rPr>
  </w:style>
  <w:style w:type="paragraph" w:customStyle="1" w:styleId="EndNoteBibliography">
    <w:name w:val="EndNote Bibliography"/>
    <w:basedOn w:val="Normal"/>
    <w:link w:val="EndNoteBibliographyChar"/>
    <w:rsid w:val="000D26FF"/>
    <w:rPr>
      <w:rFonts w:cs="Arial"/>
      <w:noProof/>
    </w:rPr>
  </w:style>
  <w:style w:type="character" w:customStyle="1" w:styleId="EndNoteBibliographyChar">
    <w:name w:val="EndNote Bibliography Char"/>
    <w:basedOn w:val="DefaultParagraphFont"/>
    <w:link w:val="EndNoteBibliography"/>
    <w:rsid w:val="000D26FF"/>
    <w:rPr>
      <w:rFonts w:ascii="Arial" w:hAnsi="Arial" w:cs="Arial"/>
      <w:noProof/>
      <w:sz w:val="24"/>
      <w:szCs w:val="24"/>
      <w:lang w:val="en-US" w:eastAsia="en-US"/>
    </w:rPr>
  </w:style>
  <w:style w:type="character" w:customStyle="1" w:styleId="FootnoteTextChar">
    <w:name w:val="Footnote Text Char"/>
    <w:basedOn w:val="DefaultParagraphFont"/>
    <w:link w:val="FootnoteText"/>
    <w:uiPriority w:val="99"/>
    <w:semiHidden/>
    <w:rsid w:val="00434349"/>
    <w:rPr>
      <w:rFonts w:ascii="Arial" w:hAnsi="Arial"/>
      <w:lang w:val="en-US" w:eastAsia="en-US"/>
    </w:rPr>
  </w:style>
  <w:style w:type="character" w:styleId="Strong">
    <w:name w:val="Strong"/>
    <w:basedOn w:val="DefaultParagraphFont"/>
    <w:uiPriority w:val="22"/>
    <w:qFormat/>
    <w:rsid w:val="007F39CB"/>
    <w:rPr>
      <w:b/>
      <w:bCs/>
    </w:rPr>
  </w:style>
  <w:style w:type="table" w:customStyle="1" w:styleId="TableGrid1">
    <w:name w:val="Table Grid1"/>
    <w:basedOn w:val="TableNormal"/>
    <w:next w:val="TableGrid"/>
    <w:unhideWhenUsed/>
    <w:rsid w:val="007F39C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F39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mmentTextChar">
    <w:name w:val="Comment Text Char"/>
    <w:basedOn w:val="DefaultParagraphFont"/>
    <w:link w:val="CommentText"/>
    <w:uiPriority w:val="99"/>
    <w:rsid w:val="007C269D"/>
    <w:rPr>
      <w:rFonts w:ascii="Arial" w:hAnsi="Arial"/>
      <w:lang w:val="en-US" w:eastAsia="en-US"/>
    </w:rPr>
  </w:style>
  <w:style w:type="paragraph" w:styleId="Header">
    <w:name w:val="header"/>
    <w:basedOn w:val="Normal"/>
    <w:link w:val="HeaderChar"/>
    <w:uiPriority w:val="99"/>
    <w:unhideWhenUsed/>
    <w:rsid w:val="006C22C1"/>
    <w:pPr>
      <w:tabs>
        <w:tab w:val="center" w:pos="4680"/>
        <w:tab w:val="right" w:pos="9360"/>
      </w:tabs>
    </w:pPr>
  </w:style>
  <w:style w:type="character" w:customStyle="1" w:styleId="HeaderChar">
    <w:name w:val="Header Char"/>
    <w:basedOn w:val="DefaultParagraphFont"/>
    <w:link w:val="Header"/>
    <w:uiPriority w:val="99"/>
    <w:rsid w:val="006C22C1"/>
    <w:rPr>
      <w:rFonts w:ascii="Arial" w:hAnsi="Arial"/>
      <w:sz w:val="24"/>
      <w:szCs w:val="24"/>
      <w:lang w:val="en-US" w:eastAsia="en-US"/>
    </w:rPr>
  </w:style>
  <w:style w:type="paragraph" w:styleId="Footer">
    <w:name w:val="footer"/>
    <w:basedOn w:val="Normal"/>
    <w:link w:val="FooterChar"/>
    <w:unhideWhenUsed/>
    <w:rsid w:val="006C22C1"/>
    <w:pPr>
      <w:tabs>
        <w:tab w:val="center" w:pos="4680"/>
        <w:tab w:val="right" w:pos="9360"/>
      </w:tabs>
    </w:pPr>
  </w:style>
  <w:style w:type="character" w:customStyle="1" w:styleId="FooterChar">
    <w:name w:val="Footer Char"/>
    <w:basedOn w:val="DefaultParagraphFont"/>
    <w:link w:val="Footer"/>
    <w:rsid w:val="006C22C1"/>
    <w:rPr>
      <w:rFonts w:ascii="Arial" w:hAnsi="Arial"/>
      <w:sz w:val="24"/>
      <w:szCs w:val="24"/>
      <w:lang w:val="en-US" w:eastAsia="en-US"/>
    </w:rPr>
  </w:style>
  <w:style w:type="character" w:styleId="Hyperlink">
    <w:name w:val="Hyperlink"/>
    <w:basedOn w:val="DefaultParagraphFont"/>
    <w:unhideWhenUsed/>
    <w:rsid w:val="00842B63"/>
    <w:rPr>
      <w:color w:val="0563C1" w:themeColor="hyperlink"/>
      <w:u w:val="single"/>
    </w:rPr>
  </w:style>
  <w:style w:type="character" w:styleId="UnresolvedMention">
    <w:name w:val="Unresolved Mention"/>
    <w:basedOn w:val="DefaultParagraphFont"/>
    <w:uiPriority w:val="99"/>
    <w:semiHidden/>
    <w:unhideWhenUsed/>
    <w:rsid w:val="00842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1391">
      <w:bodyDiv w:val="1"/>
      <w:marLeft w:val="0"/>
      <w:marRight w:val="0"/>
      <w:marTop w:val="0"/>
      <w:marBottom w:val="0"/>
      <w:divBdr>
        <w:top w:val="none" w:sz="0" w:space="0" w:color="auto"/>
        <w:left w:val="none" w:sz="0" w:space="0" w:color="auto"/>
        <w:bottom w:val="none" w:sz="0" w:space="0" w:color="auto"/>
        <w:right w:val="none" w:sz="0" w:space="0" w:color="auto"/>
      </w:divBdr>
    </w:div>
    <w:div w:id="26375977">
      <w:bodyDiv w:val="1"/>
      <w:marLeft w:val="0"/>
      <w:marRight w:val="0"/>
      <w:marTop w:val="0"/>
      <w:marBottom w:val="0"/>
      <w:divBdr>
        <w:top w:val="none" w:sz="0" w:space="0" w:color="auto"/>
        <w:left w:val="none" w:sz="0" w:space="0" w:color="auto"/>
        <w:bottom w:val="none" w:sz="0" w:space="0" w:color="auto"/>
        <w:right w:val="none" w:sz="0" w:space="0" w:color="auto"/>
      </w:divBdr>
      <w:divsChild>
        <w:div w:id="522745304">
          <w:marLeft w:val="0"/>
          <w:marRight w:val="0"/>
          <w:marTop w:val="0"/>
          <w:marBottom w:val="0"/>
          <w:divBdr>
            <w:top w:val="none" w:sz="0" w:space="0" w:color="auto"/>
            <w:left w:val="none" w:sz="0" w:space="0" w:color="auto"/>
            <w:bottom w:val="none" w:sz="0" w:space="0" w:color="auto"/>
            <w:right w:val="none" w:sz="0" w:space="0" w:color="auto"/>
          </w:divBdr>
        </w:div>
      </w:divsChild>
    </w:div>
    <w:div w:id="34433448">
      <w:bodyDiv w:val="1"/>
      <w:marLeft w:val="0"/>
      <w:marRight w:val="0"/>
      <w:marTop w:val="0"/>
      <w:marBottom w:val="0"/>
      <w:divBdr>
        <w:top w:val="none" w:sz="0" w:space="0" w:color="auto"/>
        <w:left w:val="none" w:sz="0" w:space="0" w:color="auto"/>
        <w:bottom w:val="none" w:sz="0" w:space="0" w:color="auto"/>
        <w:right w:val="none" w:sz="0" w:space="0" w:color="auto"/>
      </w:divBdr>
      <w:divsChild>
        <w:div w:id="314073512">
          <w:marLeft w:val="0"/>
          <w:marRight w:val="0"/>
          <w:marTop w:val="0"/>
          <w:marBottom w:val="0"/>
          <w:divBdr>
            <w:top w:val="none" w:sz="0" w:space="0" w:color="auto"/>
            <w:left w:val="none" w:sz="0" w:space="0" w:color="auto"/>
            <w:bottom w:val="none" w:sz="0" w:space="0" w:color="auto"/>
            <w:right w:val="none" w:sz="0" w:space="0" w:color="auto"/>
          </w:divBdr>
        </w:div>
      </w:divsChild>
    </w:div>
    <w:div w:id="68313075">
      <w:bodyDiv w:val="1"/>
      <w:marLeft w:val="0"/>
      <w:marRight w:val="0"/>
      <w:marTop w:val="0"/>
      <w:marBottom w:val="0"/>
      <w:divBdr>
        <w:top w:val="none" w:sz="0" w:space="0" w:color="auto"/>
        <w:left w:val="none" w:sz="0" w:space="0" w:color="auto"/>
        <w:bottom w:val="none" w:sz="0" w:space="0" w:color="auto"/>
        <w:right w:val="none" w:sz="0" w:space="0" w:color="auto"/>
      </w:divBdr>
    </w:div>
    <w:div w:id="92212448">
      <w:bodyDiv w:val="1"/>
      <w:marLeft w:val="0"/>
      <w:marRight w:val="0"/>
      <w:marTop w:val="0"/>
      <w:marBottom w:val="0"/>
      <w:divBdr>
        <w:top w:val="none" w:sz="0" w:space="0" w:color="auto"/>
        <w:left w:val="none" w:sz="0" w:space="0" w:color="auto"/>
        <w:bottom w:val="none" w:sz="0" w:space="0" w:color="auto"/>
        <w:right w:val="none" w:sz="0" w:space="0" w:color="auto"/>
      </w:divBdr>
      <w:divsChild>
        <w:div w:id="1915967100">
          <w:marLeft w:val="0"/>
          <w:marRight w:val="0"/>
          <w:marTop w:val="0"/>
          <w:marBottom w:val="0"/>
          <w:divBdr>
            <w:top w:val="none" w:sz="0" w:space="0" w:color="auto"/>
            <w:left w:val="none" w:sz="0" w:space="0" w:color="auto"/>
            <w:bottom w:val="none" w:sz="0" w:space="0" w:color="auto"/>
            <w:right w:val="none" w:sz="0" w:space="0" w:color="auto"/>
          </w:divBdr>
        </w:div>
      </w:divsChild>
    </w:div>
    <w:div w:id="116067572">
      <w:bodyDiv w:val="1"/>
      <w:marLeft w:val="0"/>
      <w:marRight w:val="0"/>
      <w:marTop w:val="0"/>
      <w:marBottom w:val="0"/>
      <w:divBdr>
        <w:top w:val="none" w:sz="0" w:space="0" w:color="auto"/>
        <w:left w:val="none" w:sz="0" w:space="0" w:color="auto"/>
        <w:bottom w:val="none" w:sz="0" w:space="0" w:color="auto"/>
        <w:right w:val="none" w:sz="0" w:space="0" w:color="auto"/>
      </w:divBdr>
      <w:divsChild>
        <w:div w:id="701898774">
          <w:marLeft w:val="0"/>
          <w:marRight w:val="0"/>
          <w:marTop w:val="0"/>
          <w:marBottom w:val="0"/>
          <w:divBdr>
            <w:top w:val="none" w:sz="0" w:space="0" w:color="auto"/>
            <w:left w:val="none" w:sz="0" w:space="0" w:color="auto"/>
            <w:bottom w:val="none" w:sz="0" w:space="0" w:color="auto"/>
            <w:right w:val="none" w:sz="0" w:space="0" w:color="auto"/>
          </w:divBdr>
        </w:div>
        <w:div w:id="965818413">
          <w:marLeft w:val="0"/>
          <w:marRight w:val="0"/>
          <w:marTop w:val="0"/>
          <w:marBottom w:val="0"/>
          <w:divBdr>
            <w:top w:val="none" w:sz="0" w:space="0" w:color="auto"/>
            <w:left w:val="none" w:sz="0" w:space="0" w:color="auto"/>
            <w:bottom w:val="none" w:sz="0" w:space="0" w:color="auto"/>
            <w:right w:val="none" w:sz="0" w:space="0" w:color="auto"/>
          </w:divBdr>
        </w:div>
      </w:divsChild>
    </w:div>
    <w:div w:id="116654442">
      <w:bodyDiv w:val="1"/>
      <w:marLeft w:val="0"/>
      <w:marRight w:val="0"/>
      <w:marTop w:val="0"/>
      <w:marBottom w:val="0"/>
      <w:divBdr>
        <w:top w:val="none" w:sz="0" w:space="0" w:color="auto"/>
        <w:left w:val="none" w:sz="0" w:space="0" w:color="auto"/>
        <w:bottom w:val="none" w:sz="0" w:space="0" w:color="auto"/>
        <w:right w:val="none" w:sz="0" w:space="0" w:color="auto"/>
      </w:divBdr>
      <w:divsChild>
        <w:div w:id="1680081540">
          <w:marLeft w:val="0"/>
          <w:marRight w:val="0"/>
          <w:marTop w:val="0"/>
          <w:marBottom w:val="0"/>
          <w:divBdr>
            <w:top w:val="none" w:sz="0" w:space="0" w:color="auto"/>
            <w:left w:val="none" w:sz="0" w:space="0" w:color="auto"/>
            <w:bottom w:val="none" w:sz="0" w:space="0" w:color="auto"/>
            <w:right w:val="none" w:sz="0" w:space="0" w:color="auto"/>
          </w:divBdr>
        </w:div>
        <w:div w:id="1913537870">
          <w:marLeft w:val="0"/>
          <w:marRight w:val="0"/>
          <w:marTop w:val="0"/>
          <w:marBottom w:val="0"/>
          <w:divBdr>
            <w:top w:val="none" w:sz="0" w:space="0" w:color="auto"/>
            <w:left w:val="none" w:sz="0" w:space="0" w:color="auto"/>
            <w:bottom w:val="none" w:sz="0" w:space="0" w:color="auto"/>
            <w:right w:val="none" w:sz="0" w:space="0" w:color="auto"/>
          </w:divBdr>
        </w:div>
      </w:divsChild>
    </w:div>
    <w:div w:id="128327912">
      <w:bodyDiv w:val="1"/>
      <w:marLeft w:val="0"/>
      <w:marRight w:val="0"/>
      <w:marTop w:val="0"/>
      <w:marBottom w:val="0"/>
      <w:divBdr>
        <w:top w:val="none" w:sz="0" w:space="0" w:color="auto"/>
        <w:left w:val="none" w:sz="0" w:space="0" w:color="auto"/>
        <w:bottom w:val="none" w:sz="0" w:space="0" w:color="auto"/>
        <w:right w:val="none" w:sz="0" w:space="0" w:color="auto"/>
      </w:divBdr>
      <w:divsChild>
        <w:div w:id="883910904">
          <w:marLeft w:val="0"/>
          <w:marRight w:val="0"/>
          <w:marTop w:val="0"/>
          <w:marBottom w:val="0"/>
          <w:divBdr>
            <w:top w:val="none" w:sz="0" w:space="0" w:color="auto"/>
            <w:left w:val="none" w:sz="0" w:space="0" w:color="auto"/>
            <w:bottom w:val="none" w:sz="0" w:space="0" w:color="auto"/>
            <w:right w:val="none" w:sz="0" w:space="0" w:color="auto"/>
          </w:divBdr>
        </w:div>
      </w:divsChild>
    </w:div>
    <w:div w:id="129246134">
      <w:bodyDiv w:val="1"/>
      <w:marLeft w:val="0"/>
      <w:marRight w:val="0"/>
      <w:marTop w:val="0"/>
      <w:marBottom w:val="0"/>
      <w:divBdr>
        <w:top w:val="none" w:sz="0" w:space="0" w:color="auto"/>
        <w:left w:val="none" w:sz="0" w:space="0" w:color="auto"/>
        <w:bottom w:val="none" w:sz="0" w:space="0" w:color="auto"/>
        <w:right w:val="none" w:sz="0" w:space="0" w:color="auto"/>
      </w:divBdr>
      <w:divsChild>
        <w:div w:id="816073">
          <w:marLeft w:val="0"/>
          <w:marRight w:val="0"/>
          <w:marTop w:val="0"/>
          <w:marBottom w:val="0"/>
          <w:divBdr>
            <w:top w:val="none" w:sz="0" w:space="0" w:color="auto"/>
            <w:left w:val="none" w:sz="0" w:space="0" w:color="auto"/>
            <w:bottom w:val="none" w:sz="0" w:space="0" w:color="auto"/>
            <w:right w:val="none" w:sz="0" w:space="0" w:color="auto"/>
          </w:divBdr>
        </w:div>
      </w:divsChild>
    </w:div>
    <w:div w:id="190798620">
      <w:bodyDiv w:val="1"/>
      <w:marLeft w:val="0"/>
      <w:marRight w:val="0"/>
      <w:marTop w:val="0"/>
      <w:marBottom w:val="0"/>
      <w:divBdr>
        <w:top w:val="none" w:sz="0" w:space="0" w:color="auto"/>
        <w:left w:val="none" w:sz="0" w:space="0" w:color="auto"/>
        <w:bottom w:val="none" w:sz="0" w:space="0" w:color="auto"/>
        <w:right w:val="none" w:sz="0" w:space="0" w:color="auto"/>
      </w:divBdr>
      <w:divsChild>
        <w:div w:id="127431935">
          <w:marLeft w:val="0"/>
          <w:marRight w:val="0"/>
          <w:marTop w:val="0"/>
          <w:marBottom w:val="0"/>
          <w:divBdr>
            <w:top w:val="none" w:sz="0" w:space="0" w:color="auto"/>
            <w:left w:val="none" w:sz="0" w:space="0" w:color="auto"/>
            <w:bottom w:val="none" w:sz="0" w:space="0" w:color="auto"/>
            <w:right w:val="none" w:sz="0" w:space="0" w:color="auto"/>
          </w:divBdr>
        </w:div>
      </w:divsChild>
    </w:div>
    <w:div w:id="195780154">
      <w:bodyDiv w:val="1"/>
      <w:marLeft w:val="0"/>
      <w:marRight w:val="0"/>
      <w:marTop w:val="0"/>
      <w:marBottom w:val="0"/>
      <w:divBdr>
        <w:top w:val="none" w:sz="0" w:space="0" w:color="auto"/>
        <w:left w:val="none" w:sz="0" w:space="0" w:color="auto"/>
        <w:bottom w:val="none" w:sz="0" w:space="0" w:color="auto"/>
        <w:right w:val="none" w:sz="0" w:space="0" w:color="auto"/>
      </w:divBdr>
    </w:div>
    <w:div w:id="221138650">
      <w:bodyDiv w:val="1"/>
      <w:marLeft w:val="0"/>
      <w:marRight w:val="0"/>
      <w:marTop w:val="0"/>
      <w:marBottom w:val="0"/>
      <w:divBdr>
        <w:top w:val="none" w:sz="0" w:space="0" w:color="auto"/>
        <w:left w:val="none" w:sz="0" w:space="0" w:color="auto"/>
        <w:bottom w:val="none" w:sz="0" w:space="0" w:color="auto"/>
        <w:right w:val="none" w:sz="0" w:space="0" w:color="auto"/>
      </w:divBdr>
      <w:divsChild>
        <w:div w:id="953907422">
          <w:marLeft w:val="0"/>
          <w:marRight w:val="0"/>
          <w:marTop w:val="0"/>
          <w:marBottom w:val="0"/>
          <w:divBdr>
            <w:top w:val="none" w:sz="0" w:space="0" w:color="auto"/>
            <w:left w:val="none" w:sz="0" w:space="0" w:color="auto"/>
            <w:bottom w:val="none" w:sz="0" w:space="0" w:color="auto"/>
            <w:right w:val="none" w:sz="0" w:space="0" w:color="auto"/>
          </w:divBdr>
        </w:div>
      </w:divsChild>
    </w:div>
    <w:div w:id="271136766">
      <w:bodyDiv w:val="1"/>
      <w:marLeft w:val="0"/>
      <w:marRight w:val="0"/>
      <w:marTop w:val="0"/>
      <w:marBottom w:val="0"/>
      <w:divBdr>
        <w:top w:val="none" w:sz="0" w:space="0" w:color="auto"/>
        <w:left w:val="none" w:sz="0" w:space="0" w:color="auto"/>
        <w:bottom w:val="none" w:sz="0" w:space="0" w:color="auto"/>
        <w:right w:val="none" w:sz="0" w:space="0" w:color="auto"/>
      </w:divBdr>
      <w:divsChild>
        <w:div w:id="1813331923">
          <w:marLeft w:val="0"/>
          <w:marRight w:val="0"/>
          <w:marTop w:val="0"/>
          <w:marBottom w:val="0"/>
          <w:divBdr>
            <w:top w:val="none" w:sz="0" w:space="0" w:color="auto"/>
            <w:left w:val="none" w:sz="0" w:space="0" w:color="auto"/>
            <w:bottom w:val="none" w:sz="0" w:space="0" w:color="auto"/>
            <w:right w:val="none" w:sz="0" w:space="0" w:color="auto"/>
          </w:divBdr>
        </w:div>
      </w:divsChild>
    </w:div>
    <w:div w:id="274555642">
      <w:bodyDiv w:val="1"/>
      <w:marLeft w:val="0"/>
      <w:marRight w:val="0"/>
      <w:marTop w:val="0"/>
      <w:marBottom w:val="0"/>
      <w:divBdr>
        <w:top w:val="none" w:sz="0" w:space="0" w:color="auto"/>
        <w:left w:val="none" w:sz="0" w:space="0" w:color="auto"/>
        <w:bottom w:val="none" w:sz="0" w:space="0" w:color="auto"/>
        <w:right w:val="none" w:sz="0" w:space="0" w:color="auto"/>
      </w:divBdr>
      <w:divsChild>
        <w:div w:id="1694308607">
          <w:marLeft w:val="0"/>
          <w:marRight w:val="0"/>
          <w:marTop w:val="0"/>
          <w:marBottom w:val="0"/>
          <w:divBdr>
            <w:top w:val="none" w:sz="0" w:space="0" w:color="auto"/>
            <w:left w:val="none" w:sz="0" w:space="0" w:color="auto"/>
            <w:bottom w:val="none" w:sz="0" w:space="0" w:color="auto"/>
            <w:right w:val="none" w:sz="0" w:space="0" w:color="auto"/>
          </w:divBdr>
        </w:div>
        <w:div w:id="2036615664">
          <w:marLeft w:val="0"/>
          <w:marRight w:val="0"/>
          <w:marTop w:val="0"/>
          <w:marBottom w:val="0"/>
          <w:divBdr>
            <w:top w:val="none" w:sz="0" w:space="0" w:color="auto"/>
            <w:left w:val="none" w:sz="0" w:space="0" w:color="auto"/>
            <w:bottom w:val="none" w:sz="0" w:space="0" w:color="auto"/>
            <w:right w:val="none" w:sz="0" w:space="0" w:color="auto"/>
          </w:divBdr>
        </w:div>
      </w:divsChild>
    </w:div>
    <w:div w:id="275144294">
      <w:bodyDiv w:val="1"/>
      <w:marLeft w:val="0"/>
      <w:marRight w:val="0"/>
      <w:marTop w:val="0"/>
      <w:marBottom w:val="0"/>
      <w:divBdr>
        <w:top w:val="none" w:sz="0" w:space="0" w:color="auto"/>
        <w:left w:val="none" w:sz="0" w:space="0" w:color="auto"/>
        <w:bottom w:val="none" w:sz="0" w:space="0" w:color="auto"/>
        <w:right w:val="none" w:sz="0" w:space="0" w:color="auto"/>
      </w:divBdr>
      <w:divsChild>
        <w:div w:id="686636851">
          <w:marLeft w:val="0"/>
          <w:marRight w:val="0"/>
          <w:marTop w:val="0"/>
          <w:marBottom w:val="0"/>
          <w:divBdr>
            <w:top w:val="none" w:sz="0" w:space="0" w:color="auto"/>
            <w:left w:val="none" w:sz="0" w:space="0" w:color="auto"/>
            <w:bottom w:val="none" w:sz="0" w:space="0" w:color="auto"/>
            <w:right w:val="none" w:sz="0" w:space="0" w:color="auto"/>
          </w:divBdr>
        </w:div>
      </w:divsChild>
    </w:div>
    <w:div w:id="275916455">
      <w:bodyDiv w:val="1"/>
      <w:marLeft w:val="0"/>
      <w:marRight w:val="0"/>
      <w:marTop w:val="0"/>
      <w:marBottom w:val="0"/>
      <w:divBdr>
        <w:top w:val="none" w:sz="0" w:space="0" w:color="auto"/>
        <w:left w:val="none" w:sz="0" w:space="0" w:color="auto"/>
        <w:bottom w:val="none" w:sz="0" w:space="0" w:color="auto"/>
        <w:right w:val="none" w:sz="0" w:space="0" w:color="auto"/>
      </w:divBdr>
      <w:divsChild>
        <w:div w:id="1153791378">
          <w:marLeft w:val="0"/>
          <w:marRight w:val="0"/>
          <w:marTop w:val="0"/>
          <w:marBottom w:val="0"/>
          <w:divBdr>
            <w:top w:val="none" w:sz="0" w:space="0" w:color="auto"/>
            <w:left w:val="none" w:sz="0" w:space="0" w:color="auto"/>
            <w:bottom w:val="none" w:sz="0" w:space="0" w:color="auto"/>
            <w:right w:val="none" w:sz="0" w:space="0" w:color="auto"/>
          </w:divBdr>
        </w:div>
      </w:divsChild>
    </w:div>
    <w:div w:id="286745948">
      <w:bodyDiv w:val="1"/>
      <w:marLeft w:val="0"/>
      <w:marRight w:val="0"/>
      <w:marTop w:val="0"/>
      <w:marBottom w:val="0"/>
      <w:divBdr>
        <w:top w:val="none" w:sz="0" w:space="0" w:color="auto"/>
        <w:left w:val="none" w:sz="0" w:space="0" w:color="auto"/>
        <w:bottom w:val="none" w:sz="0" w:space="0" w:color="auto"/>
        <w:right w:val="none" w:sz="0" w:space="0" w:color="auto"/>
      </w:divBdr>
    </w:div>
    <w:div w:id="298800469">
      <w:bodyDiv w:val="1"/>
      <w:marLeft w:val="0"/>
      <w:marRight w:val="0"/>
      <w:marTop w:val="0"/>
      <w:marBottom w:val="0"/>
      <w:divBdr>
        <w:top w:val="none" w:sz="0" w:space="0" w:color="auto"/>
        <w:left w:val="none" w:sz="0" w:space="0" w:color="auto"/>
        <w:bottom w:val="none" w:sz="0" w:space="0" w:color="auto"/>
        <w:right w:val="none" w:sz="0" w:space="0" w:color="auto"/>
      </w:divBdr>
      <w:divsChild>
        <w:div w:id="1510023544">
          <w:marLeft w:val="0"/>
          <w:marRight w:val="0"/>
          <w:marTop w:val="0"/>
          <w:marBottom w:val="0"/>
          <w:divBdr>
            <w:top w:val="none" w:sz="0" w:space="0" w:color="auto"/>
            <w:left w:val="none" w:sz="0" w:space="0" w:color="auto"/>
            <w:bottom w:val="none" w:sz="0" w:space="0" w:color="auto"/>
            <w:right w:val="none" w:sz="0" w:space="0" w:color="auto"/>
          </w:divBdr>
        </w:div>
      </w:divsChild>
    </w:div>
    <w:div w:id="302125136">
      <w:bodyDiv w:val="1"/>
      <w:marLeft w:val="0"/>
      <w:marRight w:val="0"/>
      <w:marTop w:val="0"/>
      <w:marBottom w:val="0"/>
      <w:divBdr>
        <w:top w:val="none" w:sz="0" w:space="0" w:color="auto"/>
        <w:left w:val="none" w:sz="0" w:space="0" w:color="auto"/>
        <w:bottom w:val="none" w:sz="0" w:space="0" w:color="auto"/>
        <w:right w:val="none" w:sz="0" w:space="0" w:color="auto"/>
      </w:divBdr>
      <w:divsChild>
        <w:div w:id="1708338670">
          <w:marLeft w:val="0"/>
          <w:marRight w:val="0"/>
          <w:marTop w:val="0"/>
          <w:marBottom w:val="0"/>
          <w:divBdr>
            <w:top w:val="none" w:sz="0" w:space="0" w:color="auto"/>
            <w:left w:val="none" w:sz="0" w:space="0" w:color="auto"/>
            <w:bottom w:val="none" w:sz="0" w:space="0" w:color="auto"/>
            <w:right w:val="none" w:sz="0" w:space="0" w:color="auto"/>
          </w:divBdr>
        </w:div>
      </w:divsChild>
    </w:div>
    <w:div w:id="311913893">
      <w:bodyDiv w:val="1"/>
      <w:marLeft w:val="0"/>
      <w:marRight w:val="0"/>
      <w:marTop w:val="0"/>
      <w:marBottom w:val="0"/>
      <w:divBdr>
        <w:top w:val="none" w:sz="0" w:space="0" w:color="auto"/>
        <w:left w:val="none" w:sz="0" w:space="0" w:color="auto"/>
        <w:bottom w:val="none" w:sz="0" w:space="0" w:color="auto"/>
        <w:right w:val="none" w:sz="0" w:space="0" w:color="auto"/>
      </w:divBdr>
    </w:div>
    <w:div w:id="351498649">
      <w:bodyDiv w:val="1"/>
      <w:marLeft w:val="0"/>
      <w:marRight w:val="0"/>
      <w:marTop w:val="0"/>
      <w:marBottom w:val="0"/>
      <w:divBdr>
        <w:top w:val="none" w:sz="0" w:space="0" w:color="auto"/>
        <w:left w:val="none" w:sz="0" w:space="0" w:color="auto"/>
        <w:bottom w:val="none" w:sz="0" w:space="0" w:color="auto"/>
        <w:right w:val="none" w:sz="0" w:space="0" w:color="auto"/>
      </w:divBdr>
      <w:divsChild>
        <w:div w:id="1626884078">
          <w:marLeft w:val="0"/>
          <w:marRight w:val="0"/>
          <w:marTop w:val="0"/>
          <w:marBottom w:val="0"/>
          <w:divBdr>
            <w:top w:val="none" w:sz="0" w:space="0" w:color="auto"/>
            <w:left w:val="none" w:sz="0" w:space="0" w:color="auto"/>
            <w:bottom w:val="none" w:sz="0" w:space="0" w:color="auto"/>
            <w:right w:val="none" w:sz="0" w:space="0" w:color="auto"/>
          </w:divBdr>
        </w:div>
      </w:divsChild>
    </w:div>
    <w:div w:id="365057934">
      <w:bodyDiv w:val="1"/>
      <w:marLeft w:val="0"/>
      <w:marRight w:val="0"/>
      <w:marTop w:val="0"/>
      <w:marBottom w:val="0"/>
      <w:divBdr>
        <w:top w:val="none" w:sz="0" w:space="0" w:color="auto"/>
        <w:left w:val="none" w:sz="0" w:space="0" w:color="auto"/>
        <w:bottom w:val="none" w:sz="0" w:space="0" w:color="auto"/>
        <w:right w:val="none" w:sz="0" w:space="0" w:color="auto"/>
      </w:divBdr>
      <w:divsChild>
        <w:div w:id="43139067">
          <w:marLeft w:val="0"/>
          <w:marRight w:val="0"/>
          <w:marTop w:val="0"/>
          <w:marBottom w:val="0"/>
          <w:divBdr>
            <w:top w:val="none" w:sz="0" w:space="0" w:color="auto"/>
            <w:left w:val="none" w:sz="0" w:space="0" w:color="auto"/>
            <w:bottom w:val="none" w:sz="0" w:space="0" w:color="auto"/>
            <w:right w:val="none" w:sz="0" w:space="0" w:color="auto"/>
          </w:divBdr>
        </w:div>
        <w:div w:id="300113871">
          <w:marLeft w:val="0"/>
          <w:marRight w:val="0"/>
          <w:marTop w:val="0"/>
          <w:marBottom w:val="0"/>
          <w:divBdr>
            <w:top w:val="none" w:sz="0" w:space="0" w:color="auto"/>
            <w:left w:val="none" w:sz="0" w:space="0" w:color="auto"/>
            <w:bottom w:val="none" w:sz="0" w:space="0" w:color="auto"/>
            <w:right w:val="none" w:sz="0" w:space="0" w:color="auto"/>
          </w:divBdr>
        </w:div>
        <w:div w:id="450560386">
          <w:marLeft w:val="0"/>
          <w:marRight w:val="0"/>
          <w:marTop w:val="0"/>
          <w:marBottom w:val="0"/>
          <w:divBdr>
            <w:top w:val="none" w:sz="0" w:space="0" w:color="auto"/>
            <w:left w:val="none" w:sz="0" w:space="0" w:color="auto"/>
            <w:bottom w:val="none" w:sz="0" w:space="0" w:color="auto"/>
            <w:right w:val="none" w:sz="0" w:space="0" w:color="auto"/>
          </w:divBdr>
        </w:div>
        <w:div w:id="472601877">
          <w:marLeft w:val="0"/>
          <w:marRight w:val="0"/>
          <w:marTop w:val="0"/>
          <w:marBottom w:val="0"/>
          <w:divBdr>
            <w:top w:val="none" w:sz="0" w:space="0" w:color="auto"/>
            <w:left w:val="none" w:sz="0" w:space="0" w:color="auto"/>
            <w:bottom w:val="none" w:sz="0" w:space="0" w:color="auto"/>
            <w:right w:val="none" w:sz="0" w:space="0" w:color="auto"/>
          </w:divBdr>
        </w:div>
        <w:div w:id="1727560059">
          <w:marLeft w:val="0"/>
          <w:marRight w:val="0"/>
          <w:marTop w:val="0"/>
          <w:marBottom w:val="0"/>
          <w:divBdr>
            <w:top w:val="none" w:sz="0" w:space="0" w:color="auto"/>
            <w:left w:val="none" w:sz="0" w:space="0" w:color="auto"/>
            <w:bottom w:val="none" w:sz="0" w:space="0" w:color="auto"/>
            <w:right w:val="none" w:sz="0" w:space="0" w:color="auto"/>
          </w:divBdr>
        </w:div>
      </w:divsChild>
    </w:div>
    <w:div w:id="380984824">
      <w:bodyDiv w:val="1"/>
      <w:marLeft w:val="0"/>
      <w:marRight w:val="0"/>
      <w:marTop w:val="0"/>
      <w:marBottom w:val="0"/>
      <w:divBdr>
        <w:top w:val="none" w:sz="0" w:space="0" w:color="auto"/>
        <w:left w:val="none" w:sz="0" w:space="0" w:color="auto"/>
        <w:bottom w:val="none" w:sz="0" w:space="0" w:color="auto"/>
        <w:right w:val="none" w:sz="0" w:space="0" w:color="auto"/>
      </w:divBdr>
      <w:divsChild>
        <w:div w:id="2049180396">
          <w:marLeft w:val="0"/>
          <w:marRight w:val="0"/>
          <w:marTop w:val="0"/>
          <w:marBottom w:val="0"/>
          <w:divBdr>
            <w:top w:val="none" w:sz="0" w:space="0" w:color="auto"/>
            <w:left w:val="none" w:sz="0" w:space="0" w:color="auto"/>
            <w:bottom w:val="none" w:sz="0" w:space="0" w:color="auto"/>
            <w:right w:val="none" w:sz="0" w:space="0" w:color="auto"/>
          </w:divBdr>
        </w:div>
      </w:divsChild>
    </w:div>
    <w:div w:id="383870637">
      <w:bodyDiv w:val="1"/>
      <w:marLeft w:val="0"/>
      <w:marRight w:val="0"/>
      <w:marTop w:val="0"/>
      <w:marBottom w:val="0"/>
      <w:divBdr>
        <w:top w:val="none" w:sz="0" w:space="0" w:color="auto"/>
        <w:left w:val="none" w:sz="0" w:space="0" w:color="auto"/>
        <w:bottom w:val="none" w:sz="0" w:space="0" w:color="auto"/>
        <w:right w:val="none" w:sz="0" w:space="0" w:color="auto"/>
      </w:divBdr>
    </w:div>
    <w:div w:id="406342761">
      <w:bodyDiv w:val="1"/>
      <w:marLeft w:val="0"/>
      <w:marRight w:val="0"/>
      <w:marTop w:val="0"/>
      <w:marBottom w:val="0"/>
      <w:divBdr>
        <w:top w:val="none" w:sz="0" w:space="0" w:color="auto"/>
        <w:left w:val="none" w:sz="0" w:space="0" w:color="auto"/>
        <w:bottom w:val="none" w:sz="0" w:space="0" w:color="auto"/>
        <w:right w:val="none" w:sz="0" w:space="0" w:color="auto"/>
      </w:divBdr>
    </w:div>
    <w:div w:id="416363318">
      <w:bodyDiv w:val="1"/>
      <w:marLeft w:val="0"/>
      <w:marRight w:val="0"/>
      <w:marTop w:val="0"/>
      <w:marBottom w:val="0"/>
      <w:divBdr>
        <w:top w:val="none" w:sz="0" w:space="0" w:color="auto"/>
        <w:left w:val="none" w:sz="0" w:space="0" w:color="auto"/>
        <w:bottom w:val="none" w:sz="0" w:space="0" w:color="auto"/>
        <w:right w:val="none" w:sz="0" w:space="0" w:color="auto"/>
      </w:divBdr>
    </w:div>
    <w:div w:id="427508880">
      <w:bodyDiv w:val="1"/>
      <w:marLeft w:val="0"/>
      <w:marRight w:val="0"/>
      <w:marTop w:val="0"/>
      <w:marBottom w:val="0"/>
      <w:divBdr>
        <w:top w:val="none" w:sz="0" w:space="0" w:color="auto"/>
        <w:left w:val="none" w:sz="0" w:space="0" w:color="auto"/>
        <w:bottom w:val="none" w:sz="0" w:space="0" w:color="auto"/>
        <w:right w:val="none" w:sz="0" w:space="0" w:color="auto"/>
      </w:divBdr>
      <w:divsChild>
        <w:div w:id="2006778944">
          <w:marLeft w:val="0"/>
          <w:marRight w:val="0"/>
          <w:marTop w:val="0"/>
          <w:marBottom w:val="0"/>
          <w:divBdr>
            <w:top w:val="none" w:sz="0" w:space="0" w:color="auto"/>
            <w:left w:val="none" w:sz="0" w:space="0" w:color="auto"/>
            <w:bottom w:val="none" w:sz="0" w:space="0" w:color="auto"/>
            <w:right w:val="none" w:sz="0" w:space="0" w:color="auto"/>
          </w:divBdr>
        </w:div>
      </w:divsChild>
    </w:div>
    <w:div w:id="428165598">
      <w:bodyDiv w:val="1"/>
      <w:marLeft w:val="0"/>
      <w:marRight w:val="0"/>
      <w:marTop w:val="0"/>
      <w:marBottom w:val="0"/>
      <w:divBdr>
        <w:top w:val="none" w:sz="0" w:space="0" w:color="auto"/>
        <w:left w:val="none" w:sz="0" w:space="0" w:color="auto"/>
        <w:bottom w:val="none" w:sz="0" w:space="0" w:color="auto"/>
        <w:right w:val="none" w:sz="0" w:space="0" w:color="auto"/>
      </w:divBdr>
      <w:divsChild>
        <w:div w:id="399789289">
          <w:marLeft w:val="0"/>
          <w:marRight w:val="0"/>
          <w:marTop w:val="0"/>
          <w:marBottom w:val="0"/>
          <w:divBdr>
            <w:top w:val="none" w:sz="0" w:space="0" w:color="auto"/>
            <w:left w:val="none" w:sz="0" w:space="0" w:color="auto"/>
            <w:bottom w:val="none" w:sz="0" w:space="0" w:color="auto"/>
            <w:right w:val="none" w:sz="0" w:space="0" w:color="auto"/>
          </w:divBdr>
        </w:div>
      </w:divsChild>
    </w:div>
    <w:div w:id="429161420">
      <w:bodyDiv w:val="1"/>
      <w:marLeft w:val="0"/>
      <w:marRight w:val="0"/>
      <w:marTop w:val="0"/>
      <w:marBottom w:val="0"/>
      <w:divBdr>
        <w:top w:val="none" w:sz="0" w:space="0" w:color="auto"/>
        <w:left w:val="none" w:sz="0" w:space="0" w:color="auto"/>
        <w:bottom w:val="none" w:sz="0" w:space="0" w:color="auto"/>
        <w:right w:val="none" w:sz="0" w:space="0" w:color="auto"/>
      </w:divBdr>
      <w:divsChild>
        <w:div w:id="12810476">
          <w:marLeft w:val="0"/>
          <w:marRight w:val="0"/>
          <w:marTop w:val="0"/>
          <w:marBottom w:val="0"/>
          <w:divBdr>
            <w:top w:val="none" w:sz="0" w:space="0" w:color="auto"/>
            <w:left w:val="none" w:sz="0" w:space="0" w:color="auto"/>
            <w:bottom w:val="none" w:sz="0" w:space="0" w:color="auto"/>
            <w:right w:val="none" w:sz="0" w:space="0" w:color="auto"/>
          </w:divBdr>
        </w:div>
        <w:div w:id="1831628751">
          <w:marLeft w:val="0"/>
          <w:marRight w:val="0"/>
          <w:marTop w:val="0"/>
          <w:marBottom w:val="0"/>
          <w:divBdr>
            <w:top w:val="none" w:sz="0" w:space="0" w:color="auto"/>
            <w:left w:val="none" w:sz="0" w:space="0" w:color="auto"/>
            <w:bottom w:val="none" w:sz="0" w:space="0" w:color="auto"/>
            <w:right w:val="none" w:sz="0" w:space="0" w:color="auto"/>
          </w:divBdr>
        </w:div>
      </w:divsChild>
    </w:div>
    <w:div w:id="437408261">
      <w:bodyDiv w:val="1"/>
      <w:marLeft w:val="0"/>
      <w:marRight w:val="0"/>
      <w:marTop w:val="0"/>
      <w:marBottom w:val="0"/>
      <w:divBdr>
        <w:top w:val="none" w:sz="0" w:space="0" w:color="auto"/>
        <w:left w:val="none" w:sz="0" w:space="0" w:color="auto"/>
        <w:bottom w:val="none" w:sz="0" w:space="0" w:color="auto"/>
        <w:right w:val="none" w:sz="0" w:space="0" w:color="auto"/>
      </w:divBdr>
      <w:divsChild>
        <w:div w:id="1052188855">
          <w:marLeft w:val="0"/>
          <w:marRight w:val="0"/>
          <w:marTop w:val="0"/>
          <w:marBottom w:val="0"/>
          <w:divBdr>
            <w:top w:val="none" w:sz="0" w:space="0" w:color="auto"/>
            <w:left w:val="none" w:sz="0" w:space="0" w:color="auto"/>
            <w:bottom w:val="none" w:sz="0" w:space="0" w:color="auto"/>
            <w:right w:val="none" w:sz="0" w:space="0" w:color="auto"/>
          </w:divBdr>
        </w:div>
      </w:divsChild>
    </w:div>
    <w:div w:id="446854815">
      <w:bodyDiv w:val="1"/>
      <w:marLeft w:val="0"/>
      <w:marRight w:val="0"/>
      <w:marTop w:val="0"/>
      <w:marBottom w:val="0"/>
      <w:divBdr>
        <w:top w:val="none" w:sz="0" w:space="0" w:color="auto"/>
        <w:left w:val="none" w:sz="0" w:space="0" w:color="auto"/>
        <w:bottom w:val="none" w:sz="0" w:space="0" w:color="auto"/>
        <w:right w:val="none" w:sz="0" w:space="0" w:color="auto"/>
      </w:divBdr>
      <w:divsChild>
        <w:div w:id="1648242865">
          <w:marLeft w:val="0"/>
          <w:marRight w:val="0"/>
          <w:marTop w:val="0"/>
          <w:marBottom w:val="0"/>
          <w:divBdr>
            <w:top w:val="none" w:sz="0" w:space="0" w:color="auto"/>
            <w:left w:val="none" w:sz="0" w:space="0" w:color="auto"/>
            <w:bottom w:val="none" w:sz="0" w:space="0" w:color="auto"/>
            <w:right w:val="none" w:sz="0" w:space="0" w:color="auto"/>
          </w:divBdr>
        </w:div>
      </w:divsChild>
    </w:div>
    <w:div w:id="448814055">
      <w:bodyDiv w:val="1"/>
      <w:marLeft w:val="0"/>
      <w:marRight w:val="0"/>
      <w:marTop w:val="0"/>
      <w:marBottom w:val="0"/>
      <w:divBdr>
        <w:top w:val="none" w:sz="0" w:space="0" w:color="auto"/>
        <w:left w:val="none" w:sz="0" w:space="0" w:color="auto"/>
        <w:bottom w:val="none" w:sz="0" w:space="0" w:color="auto"/>
        <w:right w:val="none" w:sz="0" w:space="0" w:color="auto"/>
      </w:divBdr>
    </w:div>
    <w:div w:id="450898912">
      <w:bodyDiv w:val="1"/>
      <w:marLeft w:val="0"/>
      <w:marRight w:val="0"/>
      <w:marTop w:val="0"/>
      <w:marBottom w:val="0"/>
      <w:divBdr>
        <w:top w:val="none" w:sz="0" w:space="0" w:color="auto"/>
        <w:left w:val="none" w:sz="0" w:space="0" w:color="auto"/>
        <w:bottom w:val="none" w:sz="0" w:space="0" w:color="auto"/>
        <w:right w:val="none" w:sz="0" w:space="0" w:color="auto"/>
      </w:divBdr>
    </w:div>
    <w:div w:id="495417115">
      <w:bodyDiv w:val="1"/>
      <w:marLeft w:val="0"/>
      <w:marRight w:val="0"/>
      <w:marTop w:val="0"/>
      <w:marBottom w:val="0"/>
      <w:divBdr>
        <w:top w:val="none" w:sz="0" w:space="0" w:color="auto"/>
        <w:left w:val="none" w:sz="0" w:space="0" w:color="auto"/>
        <w:bottom w:val="none" w:sz="0" w:space="0" w:color="auto"/>
        <w:right w:val="none" w:sz="0" w:space="0" w:color="auto"/>
      </w:divBdr>
    </w:div>
    <w:div w:id="507912657">
      <w:bodyDiv w:val="1"/>
      <w:marLeft w:val="0"/>
      <w:marRight w:val="0"/>
      <w:marTop w:val="0"/>
      <w:marBottom w:val="0"/>
      <w:divBdr>
        <w:top w:val="none" w:sz="0" w:space="0" w:color="auto"/>
        <w:left w:val="none" w:sz="0" w:space="0" w:color="auto"/>
        <w:bottom w:val="none" w:sz="0" w:space="0" w:color="auto"/>
        <w:right w:val="none" w:sz="0" w:space="0" w:color="auto"/>
      </w:divBdr>
    </w:div>
    <w:div w:id="508836717">
      <w:bodyDiv w:val="1"/>
      <w:marLeft w:val="0"/>
      <w:marRight w:val="0"/>
      <w:marTop w:val="0"/>
      <w:marBottom w:val="0"/>
      <w:divBdr>
        <w:top w:val="none" w:sz="0" w:space="0" w:color="auto"/>
        <w:left w:val="none" w:sz="0" w:space="0" w:color="auto"/>
        <w:bottom w:val="none" w:sz="0" w:space="0" w:color="auto"/>
        <w:right w:val="none" w:sz="0" w:space="0" w:color="auto"/>
      </w:divBdr>
      <w:divsChild>
        <w:div w:id="2002075033">
          <w:marLeft w:val="0"/>
          <w:marRight w:val="0"/>
          <w:marTop w:val="0"/>
          <w:marBottom w:val="0"/>
          <w:divBdr>
            <w:top w:val="none" w:sz="0" w:space="0" w:color="auto"/>
            <w:left w:val="none" w:sz="0" w:space="0" w:color="auto"/>
            <w:bottom w:val="none" w:sz="0" w:space="0" w:color="auto"/>
            <w:right w:val="none" w:sz="0" w:space="0" w:color="auto"/>
          </w:divBdr>
        </w:div>
      </w:divsChild>
    </w:div>
    <w:div w:id="519245754">
      <w:bodyDiv w:val="1"/>
      <w:marLeft w:val="0"/>
      <w:marRight w:val="0"/>
      <w:marTop w:val="0"/>
      <w:marBottom w:val="0"/>
      <w:divBdr>
        <w:top w:val="none" w:sz="0" w:space="0" w:color="auto"/>
        <w:left w:val="none" w:sz="0" w:space="0" w:color="auto"/>
        <w:bottom w:val="none" w:sz="0" w:space="0" w:color="auto"/>
        <w:right w:val="none" w:sz="0" w:space="0" w:color="auto"/>
      </w:divBdr>
      <w:divsChild>
        <w:div w:id="323969488">
          <w:marLeft w:val="0"/>
          <w:marRight w:val="0"/>
          <w:marTop w:val="0"/>
          <w:marBottom w:val="0"/>
          <w:divBdr>
            <w:top w:val="none" w:sz="0" w:space="0" w:color="auto"/>
            <w:left w:val="none" w:sz="0" w:space="0" w:color="auto"/>
            <w:bottom w:val="none" w:sz="0" w:space="0" w:color="auto"/>
            <w:right w:val="none" w:sz="0" w:space="0" w:color="auto"/>
          </w:divBdr>
        </w:div>
        <w:div w:id="541135547">
          <w:marLeft w:val="0"/>
          <w:marRight w:val="0"/>
          <w:marTop w:val="0"/>
          <w:marBottom w:val="0"/>
          <w:divBdr>
            <w:top w:val="none" w:sz="0" w:space="0" w:color="auto"/>
            <w:left w:val="none" w:sz="0" w:space="0" w:color="auto"/>
            <w:bottom w:val="none" w:sz="0" w:space="0" w:color="auto"/>
            <w:right w:val="none" w:sz="0" w:space="0" w:color="auto"/>
          </w:divBdr>
        </w:div>
      </w:divsChild>
    </w:div>
    <w:div w:id="525799108">
      <w:bodyDiv w:val="1"/>
      <w:marLeft w:val="0"/>
      <w:marRight w:val="0"/>
      <w:marTop w:val="0"/>
      <w:marBottom w:val="0"/>
      <w:divBdr>
        <w:top w:val="none" w:sz="0" w:space="0" w:color="auto"/>
        <w:left w:val="none" w:sz="0" w:space="0" w:color="auto"/>
        <w:bottom w:val="none" w:sz="0" w:space="0" w:color="auto"/>
        <w:right w:val="none" w:sz="0" w:space="0" w:color="auto"/>
      </w:divBdr>
    </w:div>
    <w:div w:id="547884185">
      <w:bodyDiv w:val="1"/>
      <w:marLeft w:val="0"/>
      <w:marRight w:val="0"/>
      <w:marTop w:val="0"/>
      <w:marBottom w:val="0"/>
      <w:divBdr>
        <w:top w:val="none" w:sz="0" w:space="0" w:color="auto"/>
        <w:left w:val="none" w:sz="0" w:space="0" w:color="auto"/>
        <w:bottom w:val="none" w:sz="0" w:space="0" w:color="auto"/>
        <w:right w:val="none" w:sz="0" w:space="0" w:color="auto"/>
      </w:divBdr>
      <w:divsChild>
        <w:div w:id="63140629">
          <w:marLeft w:val="0"/>
          <w:marRight w:val="0"/>
          <w:marTop w:val="0"/>
          <w:marBottom w:val="0"/>
          <w:divBdr>
            <w:top w:val="none" w:sz="0" w:space="0" w:color="auto"/>
            <w:left w:val="none" w:sz="0" w:space="0" w:color="auto"/>
            <w:bottom w:val="none" w:sz="0" w:space="0" w:color="auto"/>
            <w:right w:val="none" w:sz="0" w:space="0" w:color="auto"/>
          </w:divBdr>
        </w:div>
      </w:divsChild>
    </w:div>
    <w:div w:id="552733336">
      <w:bodyDiv w:val="1"/>
      <w:marLeft w:val="0"/>
      <w:marRight w:val="0"/>
      <w:marTop w:val="0"/>
      <w:marBottom w:val="0"/>
      <w:divBdr>
        <w:top w:val="none" w:sz="0" w:space="0" w:color="auto"/>
        <w:left w:val="none" w:sz="0" w:space="0" w:color="auto"/>
        <w:bottom w:val="none" w:sz="0" w:space="0" w:color="auto"/>
        <w:right w:val="none" w:sz="0" w:space="0" w:color="auto"/>
      </w:divBdr>
    </w:div>
    <w:div w:id="578100576">
      <w:bodyDiv w:val="1"/>
      <w:marLeft w:val="0"/>
      <w:marRight w:val="0"/>
      <w:marTop w:val="0"/>
      <w:marBottom w:val="0"/>
      <w:divBdr>
        <w:top w:val="none" w:sz="0" w:space="0" w:color="auto"/>
        <w:left w:val="none" w:sz="0" w:space="0" w:color="auto"/>
        <w:bottom w:val="none" w:sz="0" w:space="0" w:color="auto"/>
        <w:right w:val="none" w:sz="0" w:space="0" w:color="auto"/>
      </w:divBdr>
      <w:divsChild>
        <w:div w:id="1454710407">
          <w:marLeft w:val="0"/>
          <w:marRight w:val="0"/>
          <w:marTop w:val="0"/>
          <w:marBottom w:val="0"/>
          <w:divBdr>
            <w:top w:val="none" w:sz="0" w:space="0" w:color="auto"/>
            <w:left w:val="none" w:sz="0" w:space="0" w:color="auto"/>
            <w:bottom w:val="none" w:sz="0" w:space="0" w:color="auto"/>
            <w:right w:val="none" w:sz="0" w:space="0" w:color="auto"/>
          </w:divBdr>
        </w:div>
      </w:divsChild>
    </w:div>
    <w:div w:id="62077055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33">
          <w:marLeft w:val="0"/>
          <w:marRight w:val="0"/>
          <w:marTop w:val="0"/>
          <w:marBottom w:val="0"/>
          <w:divBdr>
            <w:top w:val="none" w:sz="0" w:space="0" w:color="auto"/>
            <w:left w:val="none" w:sz="0" w:space="0" w:color="auto"/>
            <w:bottom w:val="none" w:sz="0" w:space="0" w:color="auto"/>
            <w:right w:val="none" w:sz="0" w:space="0" w:color="auto"/>
          </w:divBdr>
        </w:div>
      </w:divsChild>
    </w:div>
    <w:div w:id="642662771">
      <w:bodyDiv w:val="1"/>
      <w:marLeft w:val="0"/>
      <w:marRight w:val="0"/>
      <w:marTop w:val="0"/>
      <w:marBottom w:val="0"/>
      <w:divBdr>
        <w:top w:val="none" w:sz="0" w:space="0" w:color="auto"/>
        <w:left w:val="none" w:sz="0" w:space="0" w:color="auto"/>
        <w:bottom w:val="none" w:sz="0" w:space="0" w:color="auto"/>
        <w:right w:val="none" w:sz="0" w:space="0" w:color="auto"/>
      </w:divBdr>
    </w:div>
    <w:div w:id="710301198">
      <w:bodyDiv w:val="1"/>
      <w:marLeft w:val="0"/>
      <w:marRight w:val="0"/>
      <w:marTop w:val="0"/>
      <w:marBottom w:val="0"/>
      <w:divBdr>
        <w:top w:val="none" w:sz="0" w:space="0" w:color="auto"/>
        <w:left w:val="none" w:sz="0" w:space="0" w:color="auto"/>
        <w:bottom w:val="none" w:sz="0" w:space="0" w:color="auto"/>
        <w:right w:val="none" w:sz="0" w:space="0" w:color="auto"/>
      </w:divBdr>
    </w:div>
    <w:div w:id="741637425">
      <w:bodyDiv w:val="1"/>
      <w:marLeft w:val="0"/>
      <w:marRight w:val="0"/>
      <w:marTop w:val="0"/>
      <w:marBottom w:val="0"/>
      <w:divBdr>
        <w:top w:val="none" w:sz="0" w:space="0" w:color="auto"/>
        <w:left w:val="none" w:sz="0" w:space="0" w:color="auto"/>
        <w:bottom w:val="none" w:sz="0" w:space="0" w:color="auto"/>
        <w:right w:val="none" w:sz="0" w:space="0" w:color="auto"/>
      </w:divBdr>
      <w:divsChild>
        <w:div w:id="1592661321">
          <w:marLeft w:val="0"/>
          <w:marRight w:val="0"/>
          <w:marTop w:val="0"/>
          <w:marBottom w:val="0"/>
          <w:divBdr>
            <w:top w:val="none" w:sz="0" w:space="0" w:color="auto"/>
            <w:left w:val="none" w:sz="0" w:space="0" w:color="auto"/>
            <w:bottom w:val="none" w:sz="0" w:space="0" w:color="auto"/>
            <w:right w:val="none" w:sz="0" w:space="0" w:color="auto"/>
          </w:divBdr>
        </w:div>
      </w:divsChild>
    </w:div>
    <w:div w:id="756168764">
      <w:bodyDiv w:val="1"/>
      <w:marLeft w:val="0"/>
      <w:marRight w:val="0"/>
      <w:marTop w:val="0"/>
      <w:marBottom w:val="0"/>
      <w:divBdr>
        <w:top w:val="none" w:sz="0" w:space="0" w:color="auto"/>
        <w:left w:val="none" w:sz="0" w:space="0" w:color="auto"/>
        <w:bottom w:val="none" w:sz="0" w:space="0" w:color="auto"/>
        <w:right w:val="none" w:sz="0" w:space="0" w:color="auto"/>
      </w:divBdr>
    </w:div>
    <w:div w:id="791678152">
      <w:bodyDiv w:val="1"/>
      <w:marLeft w:val="0"/>
      <w:marRight w:val="0"/>
      <w:marTop w:val="0"/>
      <w:marBottom w:val="0"/>
      <w:divBdr>
        <w:top w:val="none" w:sz="0" w:space="0" w:color="auto"/>
        <w:left w:val="none" w:sz="0" w:space="0" w:color="auto"/>
        <w:bottom w:val="none" w:sz="0" w:space="0" w:color="auto"/>
        <w:right w:val="none" w:sz="0" w:space="0" w:color="auto"/>
      </w:divBdr>
      <w:divsChild>
        <w:div w:id="198127991">
          <w:marLeft w:val="0"/>
          <w:marRight w:val="0"/>
          <w:marTop w:val="0"/>
          <w:marBottom w:val="0"/>
          <w:divBdr>
            <w:top w:val="none" w:sz="0" w:space="0" w:color="auto"/>
            <w:left w:val="none" w:sz="0" w:space="0" w:color="auto"/>
            <w:bottom w:val="none" w:sz="0" w:space="0" w:color="auto"/>
            <w:right w:val="none" w:sz="0" w:space="0" w:color="auto"/>
          </w:divBdr>
        </w:div>
      </w:divsChild>
    </w:div>
    <w:div w:id="803624145">
      <w:bodyDiv w:val="1"/>
      <w:marLeft w:val="0"/>
      <w:marRight w:val="0"/>
      <w:marTop w:val="0"/>
      <w:marBottom w:val="0"/>
      <w:divBdr>
        <w:top w:val="none" w:sz="0" w:space="0" w:color="auto"/>
        <w:left w:val="none" w:sz="0" w:space="0" w:color="auto"/>
        <w:bottom w:val="none" w:sz="0" w:space="0" w:color="auto"/>
        <w:right w:val="none" w:sz="0" w:space="0" w:color="auto"/>
      </w:divBdr>
    </w:div>
    <w:div w:id="821122946">
      <w:bodyDiv w:val="1"/>
      <w:marLeft w:val="0"/>
      <w:marRight w:val="0"/>
      <w:marTop w:val="0"/>
      <w:marBottom w:val="0"/>
      <w:divBdr>
        <w:top w:val="none" w:sz="0" w:space="0" w:color="auto"/>
        <w:left w:val="none" w:sz="0" w:space="0" w:color="auto"/>
        <w:bottom w:val="none" w:sz="0" w:space="0" w:color="auto"/>
        <w:right w:val="none" w:sz="0" w:space="0" w:color="auto"/>
      </w:divBdr>
      <w:divsChild>
        <w:div w:id="532882192">
          <w:marLeft w:val="0"/>
          <w:marRight w:val="0"/>
          <w:marTop w:val="0"/>
          <w:marBottom w:val="0"/>
          <w:divBdr>
            <w:top w:val="none" w:sz="0" w:space="0" w:color="auto"/>
            <w:left w:val="none" w:sz="0" w:space="0" w:color="auto"/>
            <w:bottom w:val="none" w:sz="0" w:space="0" w:color="auto"/>
            <w:right w:val="none" w:sz="0" w:space="0" w:color="auto"/>
          </w:divBdr>
        </w:div>
      </w:divsChild>
    </w:div>
    <w:div w:id="909576385">
      <w:bodyDiv w:val="1"/>
      <w:marLeft w:val="0"/>
      <w:marRight w:val="0"/>
      <w:marTop w:val="0"/>
      <w:marBottom w:val="0"/>
      <w:divBdr>
        <w:top w:val="none" w:sz="0" w:space="0" w:color="auto"/>
        <w:left w:val="none" w:sz="0" w:space="0" w:color="auto"/>
        <w:bottom w:val="none" w:sz="0" w:space="0" w:color="auto"/>
        <w:right w:val="none" w:sz="0" w:space="0" w:color="auto"/>
      </w:divBdr>
      <w:divsChild>
        <w:div w:id="1884825394">
          <w:marLeft w:val="0"/>
          <w:marRight w:val="0"/>
          <w:marTop w:val="0"/>
          <w:marBottom w:val="0"/>
          <w:divBdr>
            <w:top w:val="none" w:sz="0" w:space="0" w:color="auto"/>
            <w:left w:val="none" w:sz="0" w:space="0" w:color="auto"/>
            <w:bottom w:val="none" w:sz="0" w:space="0" w:color="auto"/>
            <w:right w:val="none" w:sz="0" w:space="0" w:color="auto"/>
          </w:divBdr>
        </w:div>
      </w:divsChild>
    </w:div>
    <w:div w:id="961695739">
      <w:bodyDiv w:val="1"/>
      <w:marLeft w:val="0"/>
      <w:marRight w:val="0"/>
      <w:marTop w:val="0"/>
      <w:marBottom w:val="0"/>
      <w:divBdr>
        <w:top w:val="none" w:sz="0" w:space="0" w:color="auto"/>
        <w:left w:val="none" w:sz="0" w:space="0" w:color="auto"/>
        <w:bottom w:val="none" w:sz="0" w:space="0" w:color="auto"/>
        <w:right w:val="none" w:sz="0" w:space="0" w:color="auto"/>
      </w:divBdr>
    </w:div>
    <w:div w:id="970358667">
      <w:bodyDiv w:val="1"/>
      <w:marLeft w:val="0"/>
      <w:marRight w:val="0"/>
      <w:marTop w:val="0"/>
      <w:marBottom w:val="0"/>
      <w:divBdr>
        <w:top w:val="none" w:sz="0" w:space="0" w:color="auto"/>
        <w:left w:val="none" w:sz="0" w:space="0" w:color="auto"/>
        <w:bottom w:val="none" w:sz="0" w:space="0" w:color="auto"/>
        <w:right w:val="none" w:sz="0" w:space="0" w:color="auto"/>
      </w:divBdr>
    </w:div>
    <w:div w:id="976685512">
      <w:bodyDiv w:val="1"/>
      <w:marLeft w:val="0"/>
      <w:marRight w:val="0"/>
      <w:marTop w:val="0"/>
      <w:marBottom w:val="0"/>
      <w:divBdr>
        <w:top w:val="none" w:sz="0" w:space="0" w:color="auto"/>
        <w:left w:val="none" w:sz="0" w:space="0" w:color="auto"/>
        <w:bottom w:val="none" w:sz="0" w:space="0" w:color="auto"/>
        <w:right w:val="none" w:sz="0" w:space="0" w:color="auto"/>
      </w:divBdr>
      <w:divsChild>
        <w:div w:id="389614594">
          <w:marLeft w:val="0"/>
          <w:marRight w:val="0"/>
          <w:marTop w:val="0"/>
          <w:marBottom w:val="0"/>
          <w:divBdr>
            <w:top w:val="none" w:sz="0" w:space="0" w:color="auto"/>
            <w:left w:val="none" w:sz="0" w:space="0" w:color="auto"/>
            <w:bottom w:val="none" w:sz="0" w:space="0" w:color="auto"/>
            <w:right w:val="none" w:sz="0" w:space="0" w:color="auto"/>
          </w:divBdr>
        </w:div>
      </w:divsChild>
    </w:div>
    <w:div w:id="1011881938">
      <w:bodyDiv w:val="1"/>
      <w:marLeft w:val="0"/>
      <w:marRight w:val="0"/>
      <w:marTop w:val="0"/>
      <w:marBottom w:val="0"/>
      <w:divBdr>
        <w:top w:val="none" w:sz="0" w:space="0" w:color="auto"/>
        <w:left w:val="none" w:sz="0" w:space="0" w:color="auto"/>
        <w:bottom w:val="none" w:sz="0" w:space="0" w:color="auto"/>
        <w:right w:val="none" w:sz="0" w:space="0" w:color="auto"/>
      </w:divBdr>
      <w:divsChild>
        <w:div w:id="882058000">
          <w:marLeft w:val="0"/>
          <w:marRight w:val="0"/>
          <w:marTop w:val="0"/>
          <w:marBottom w:val="0"/>
          <w:divBdr>
            <w:top w:val="none" w:sz="0" w:space="0" w:color="auto"/>
            <w:left w:val="none" w:sz="0" w:space="0" w:color="auto"/>
            <w:bottom w:val="none" w:sz="0" w:space="0" w:color="auto"/>
            <w:right w:val="none" w:sz="0" w:space="0" w:color="auto"/>
          </w:divBdr>
        </w:div>
      </w:divsChild>
    </w:div>
    <w:div w:id="1024283850">
      <w:bodyDiv w:val="1"/>
      <w:marLeft w:val="0"/>
      <w:marRight w:val="0"/>
      <w:marTop w:val="0"/>
      <w:marBottom w:val="0"/>
      <w:divBdr>
        <w:top w:val="none" w:sz="0" w:space="0" w:color="auto"/>
        <w:left w:val="none" w:sz="0" w:space="0" w:color="auto"/>
        <w:bottom w:val="none" w:sz="0" w:space="0" w:color="auto"/>
        <w:right w:val="none" w:sz="0" w:space="0" w:color="auto"/>
      </w:divBdr>
      <w:divsChild>
        <w:div w:id="1278487814">
          <w:marLeft w:val="0"/>
          <w:marRight w:val="0"/>
          <w:marTop w:val="0"/>
          <w:marBottom w:val="0"/>
          <w:divBdr>
            <w:top w:val="none" w:sz="0" w:space="0" w:color="auto"/>
            <w:left w:val="none" w:sz="0" w:space="0" w:color="auto"/>
            <w:bottom w:val="none" w:sz="0" w:space="0" w:color="auto"/>
            <w:right w:val="none" w:sz="0" w:space="0" w:color="auto"/>
          </w:divBdr>
        </w:div>
        <w:div w:id="1417046655">
          <w:marLeft w:val="0"/>
          <w:marRight w:val="0"/>
          <w:marTop w:val="0"/>
          <w:marBottom w:val="0"/>
          <w:divBdr>
            <w:top w:val="none" w:sz="0" w:space="0" w:color="auto"/>
            <w:left w:val="none" w:sz="0" w:space="0" w:color="auto"/>
            <w:bottom w:val="none" w:sz="0" w:space="0" w:color="auto"/>
            <w:right w:val="none" w:sz="0" w:space="0" w:color="auto"/>
          </w:divBdr>
        </w:div>
      </w:divsChild>
    </w:div>
    <w:div w:id="1063718769">
      <w:bodyDiv w:val="1"/>
      <w:marLeft w:val="0"/>
      <w:marRight w:val="0"/>
      <w:marTop w:val="0"/>
      <w:marBottom w:val="0"/>
      <w:divBdr>
        <w:top w:val="none" w:sz="0" w:space="0" w:color="auto"/>
        <w:left w:val="none" w:sz="0" w:space="0" w:color="auto"/>
        <w:bottom w:val="none" w:sz="0" w:space="0" w:color="auto"/>
        <w:right w:val="none" w:sz="0" w:space="0" w:color="auto"/>
      </w:divBdr>
      <w:divsChild>
        <w:div w:id="2020886384">
          <w:marLeft w:val="0"/>
          <w:marRight w:val="0"/>
          <w:marTop w:val="0"/>
          <w:marBottom w:val="0"/>
          <w:divBdr>
            <w:top w:val="none" w:sz="0" w:space="0" w:color="auto"/>
            <w:left w:val="none" w:sz="0" w:space="0" w:color="auto"/>
            <w:bottom w:val="none" w:sz="0" w:space="0" w:color="auto"/>
            <w:right w:val="none" w:sz="0" w:space="0" w:color="auto"/>
          </w:divBdr>
        </w:div>
      </w:divsChild>
    </w:div>
    <w:div w:id="1066800856">
      <w:bodyDiv w:val="1"/>
      <w:marLeft w:val="0"/>
      <w:marRight w:val="0"/>
      <w:marTop w:val="0"/>
      <w:marBottom w:val="0"/>
      <w:divBdr>
        <w:top w:val="none" w:sz="0" w:space="0" w:color="auto"/>
        <w:left w:val="none" w:sz="0" w:space="0" w:color="auto"/>
        <w:bottom w:val="none" w:sz="0" w:space="0" w:color="auto"/>
        <w:right w:val="none" w:sz="0" w:space="0" w:color="auto"/>
      </w:divBdr>
    </w:div>
    <w:div w:id="1097562057">
      <w:bodyDiv w:val="1"/>
      <w:marLeft w:val="0"/>
      <w:marRight w:val="0"/>
      <w:marTop w:val="0"/>
      <w:marBottom w:val="0"/>
      <w:divBdr>
        <w:top w:val="none" w:sz="0" w:space="0" w:color="auto"/>
        <w:left w:val="none" w:sz="0" w:space="0" w:color="auto"/>
        <w:bottom w:val="none" w:sz="0" w:space="0" w:color="auto"/>
        <w:right w:val="none" w:sz="0" w:space="0" w:color="auto"/>
      </w:divBdr>
      <w:divsChild>
        <w:div w:id="1547985261">
          <w:marLeft w:val="0"/>
          <w:marRight w:val="0"/>
          <w:marTop w:val="0"/>
          <w:marBottom w:val="0"/>
          <w:divBdr>
            <w:top w:val="none" w:sz="0" w:space="0" w:color="auto"/>
            <w:left w:val="none" w:sz="0" w:space="0" w:color="auto"/>
            <w:bottom w:val="none" w:sz="0" w:space="0" w:color="auto"/>
            <w:right w:val="none" w:sz="0" w:space="0" w:color="auto"/>
          </w:divBdr>
        </w:div>
      </w:divsChild>
    </w:div>
    <w:div w:id="1139109440">
      <w:bodyDiv w:val="1"/>
      <w:marLeft w:val="0"/>
      <w:marRight w:val="0"/>
      <w:marTop w:val="0"/>
      <w:marBottom w:val="0"/>
      <w:divBdr>
        <w:top w:val="none" w:sz="0" w:space="0" w:color="auto"/>
        <w:left w:val="none" w:sz="0" w:space="0" w:color="auto"/>
        <w:bottom w:val="none" w:sz="0" w:space="0" w:color="auto"/>
        <w:right w:val="none" w:sz="0" w:space="0" w:color="auto"/>
      </w:divBdr>
      <w:divsChild>
        <w:div w:id="1590918318">
          <w:marLeft w:val="0"/>
          <w:marRight w:val="0"/>
          <w:marTop w:val="0"/>
          <w:marBottom w:val="0"/>
          <w:divBdr>
            <w:top w:val="none" w:sz="0" w:space="0" w:color="auto"/>
            <w:left w:val="none" w:sz="0" w:space="0" w:color="auto"/>
            <w:bottom w:val="none" w:sz="0" w:space="0" w:color="auto"/>
            <w:right w:val="none" w:sz="0" w:space="0" w:color="auto"/>
          </w:divBdr>
        </w:div>
      </w:divsChild>
    </w:div>
    <w:div w:id="1141732689">
      <w:bodyDiv w:val="1"/>
      <w:marLeft w:val="0"/>
      <w:marRight w:val="0"/>
      <w:marTop w:val="0"/>
      <w:marBottom w:val="0"/>
      <w:divBdr>
        <w:top w:val="none" w:sz="0" w:space="0" w:color="auto"/>
        <w:left w:val="none" w:sz="0" w:space="0" w:color="auto"/>
        <w:bottom w:val="none" w:sz="0" w:space="0" w:color="auto"/>
        <w:right w:val="none" w:sz="0" w:space="0" w:color="auto"/>
      </w:divBdr>
      <w:divsChild>
        <w:div w:id="1753698948">
          <w:marLeft w:val="0"/>
          <w:marRight w:val="0"/>
          <w:marTop w:val="0"/>
          <w:marBottom w:val="0"/>
          <w:divBdr>
            <w:top w:val="none" w:sz="0" w:space="0" w:color="auto"/>
            <w:left w:val="none" w:sz="0" w:space="0" w:color="auto"/>
            <w:bottom w:val="none" w:sz="0" w:space="0" w:color="auto"/>
            <w:right w:val="none" w:sz="0" w:space="0" w:color="auto"/>
          </w:divBdr>
        </w:div>
      </w:divsChild>
    </w:div>
    <w:div w:id="1165053006">
      <w:bodyDiv w:val="1"/>
      <w:marLeft w:val="0"/>
      <w:marRight w:val="0"/>
      <w:marTop w:val="0"/>
      <w:marBottom w:val="0"/>
      <w:divBdr>
        <w:top w:val="none" w:sz="0" w:space="0" w:color="auto"/>
        <w:left w:val="none" w:sz="0" w:space="0" w:color="auto"/>
        <w:bottom w:val="none" w:sz="0" w:space="0" w:color="auto"/>
        <w:right w:val="none" w:sz="0" w:space="0" w:color="auto"/>
      </w:divBdr>
      <w:divsChild>
        <w:div w:id="1634795975">
          <w:marLeft w:val="0"/>
          <w:marRight w:val="0"/>
          <w:marTop w:val="0"/>
          <w:marBottom w:val="0"/>
          <w:divBdr>
            <w:top w:val="none" w:sz="0" w:space="0" w:color="auto"/>
            <w:left w:val="none" w:sz="0" w:space="0" w:color="auto"/>
            <w:bottom w:val="none" w:sz="0" w:space="0" w:color="auto"/>
            <w:right w:val="none" w:sz="0" w:space="0" w:color="auto"/>
          </w:divBdr>
          <w:divsChild>
            <w:div w:id="19023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2849">
      <w:bodyDiv w:val="1"/>
      <w:marLeft w:val="0"/>
      <w:marRight w:val="0"/>
      <w:marTop w:val="0"/>
      <w:marBottom w:val="0"/>
      <w:divBdr>
        <w:top w:val="none" w:sz="0" w:space="0" w:color="auto"/>
        <w:left w:val="none" w:sz="0" w:space="0" w:color="auto"/>
        <w:bottom w:val="none" w:sz="0" w:space="0" w:color="auto"/>
        <w:right w:val="none" w:sz="0" w:space="0" w:color="auto"/>
      </w:divBdr>
      <w:divsChild>
        <w:div w:id="139227332">
          <w:marLeft w:val="0"/>
          <w:marRight w:val="0"/>
          <w:marTop w:val="0"/>
          <w:marBottom w:val="0"/>
          <w:divBdr>
            <w:top w:val="none" w:sz="0" w:space="0" w:color="auto"/>
            <w:left w:val="none" w:sz="0" w:space="0" w:color="auto"/>
            <w:bottom w:val="none" w:sz="0" w:space="0" w:color="auto"/>
            <w:right w:val="none" w:sz="0" w:space="0" w:color="auto"/>
          </w:divBdr>
        </w:div>
      </w:divsChild>
    </w:div>
    <w:div w:id="1276600266">
      <w:bodyDiv w:val="1"/>
      <w:marLeft w:val="0"/>
      <w:marRight w:val="0"/>
      <w:marTop w:val="0"/>
      <w:marBottom w:val="0"/>
      <w:divBdr>
        <w:top w:val="none" w:sz="0" w:space="0" w:color="auto"/>
        <w:left w:val="none" w:sz="0" w:space="0" w:color="auto"/>
        <w:bottom w:val="none" w:sz="0" w:space="0" w:color="auto"/>
        <w:right w:val="none" w:sz="0" w:space="0" w:color="auto"/>
      </w:divBdr>
    </w:div>
    <w:div w:id="1281447798">
      <w:bodyDiv w:val="1"/>
      <w:marLeft w:val="0"/>
      <w:marRight w:val="0"/>
      <w:marTop w:val="0"/>
      <w:marBottom w:val="0"/>
      <w:divBdr>
        <w:top w:val="none" w:sz="0" w:space="0" w:color="auto"/>
        <w:left w:val="none" w:sz="0" w:space="0" w:color="auto"/>
        <w:bottom w:val="none" w:sz="0" w:space="0" w:color="auto"/>
        <w:right w:val="none" w:sz="0" w:space="0" w:color="auto"/>
      </w:divBdr>
      <w:divsChild>
        <w:div w:id="1969580482">
          <w:marLeft w:val="0"/>
          <w:marRight w:val="0"/>
          <w:marTop w:val="0"/>
          <w:marBottom w:val="0"/>
          <w:divBdr>
            <w:top w:val="none" w:sz="0" w:space="0" w:color="auto"/>
            <w:left w:val="none" w:sz="0" w:space="0" w:color="auto"/>
            <w:bottom w:val="none" w:sz="0" w:space="0" w:color="auto"/>
            <w:right w:val="none" w:sz="0" w:space="0" w:color="auto"/>
          </w:divBdr>
        </w:div>
      </w:divsChild>
    </w:div>
    <w:div w:id="1310748833">
      <w:bodyDiv w:val="1"/>
      <w:marLeft w:val="0"/>
      <w:marRight w:val="0"/>
      <w:marTop w:val="0"/>
      <w:marBottom w:val="0"/>
      <w:divBdr>
        <w:top w:val="none" w:sz="0" w:space="0" w:color="auto"/>
        <w:left w:val="none" w:sz="0" w:space="0" w:color="auto"/>
        <w:bottom w:val="none" w:sz="0" w:space="0" w:color="auto"/>
        <w:right w:val="none" w:sz="0" w:space="0" w:color="auto"/>
      </w:divBdr>
      <w:divsChild>
        <w:div w:id="718748608">
          <w:marLeft w:val="0"/>
          <w:marRight w:val="0"/>
          <w:marTop w:val="0"/>
          <w:marBottom w:val="0"/>
          <w:divBdr>
            <w:top w:val="none" w:sz="0" w:space="0" w:color="auto"/>
            <w:left w:val="none" w:sz="0" w:space="0" w:color="auto"/>
            <w:bottom w:val="none" w:sz="0" w:space="0" w:color="auto"/>
            <w:right w:val="none" w:sz="0" w:space="0" w:color="auto"/>
          </w:divBdr>
        </w:div>
      </w:divsChild>
    </w:div>
    <w:div w:id="1313564869">
      <w:bodyDiv w:val="1"/>
      <w:marLeft w:val="0"/>
      <w:marRight w:val="0"/>
      <w:marTop w:val="0"/>
      <w:marBottom w:val="0"/>
      <w:divBdr>
        <w:top w:val="none" w:sz="0" w:space="0" w:color="auto"/>
        <w:left w:val="none" w:sz="0" w:space="0" w:color="auto"/>
        <w:bottom w:val="none" w:sz="0" w:space="0" w:color="auto"/>
        <w:right w:val="none" w:sz="0" w:space="0" w:color="auto"/>
      </w:divBdr>
      <w:divsChild>
        <w:div w:id="436294203">
          <w:marLeft w:val="0"/>
          <w:marRight w:val="0"/>
          <w:marTop w:val="0"/>
          <w:marBottom w:val="0"/>
          <w:divBdr>
            <w:top w:val="none" w:sz="0" w:space="0" w:color="auto"/>
            <w:left w:val="none" w:sz="0" w:space="0" w:color="auto"/>
            <w:bottom w:val="none" w:sz="0" w:space="0" w:color="auto"/>
            <w:right w:val="none" w:sz="0" w:space="0" w:color="auto"/>
          </w:divBdr>
        </w:div>
      </w:divsChild>
    </w:div>
    <w:div w:id="1346320978">
      <w:bodyDiv w:val="1"/>
      <w:marLeft w:val="0"/>
      <w:marRight w:val="0"/>
      <w:marTop w:val="0"/>
      <w:marBottom w:val="0"/>
      <w:divBdr>
        <w:top w:val="none" w:sz="0" w:space="0" w:color="auto"/>
        <w:left w:val="none" w:sz="0" w:space="0" w:color="auto"/>
        <w:bottom w:val="none" w:sz="0" w:space="0" w:color="auto"/>
        <w:right w:val="none" w:sz="0" w:space="0" w:color="auto"/>
      </w:divBdr>
      <w:divsChild>
        <w:div w:id="148639080">
          <w:marLeft w:val="0"/>
          <w:marRight w:val="0"/>
          <w:marTop w:val="0"/>
          <w:marBottom w:val="0"/>
          <w:divBdr>
            <w:top w:val="none" w:sz="0" w:space="0" w:color="auto"/>
            <w:left w:val="none" w:sz="0" w:space="0" w:color="auto"/>
            <w:bottom w:val="none" w:sz="0" w:space="0" w:color="auto"/>
            <w:right w:val="none" w:sz="0" w:space="0" w:color="auto"/>
          </w:divBdr>
        </w:div>
      </w:divsChild>
    </w:div>
    <w:div w:id="1350258307">
      <w:bodyDiv w:val="1"/>
      <w:marLeft w:val="0"/>
      <w:marRight w:val="0"/>
      <w:marTop w:val="0"/>
      <w:marBottom w:val="0"/>
      <w:divBdr>
        <w:top w:val="none" w:sz="0" w:space="0" w:color="auto"/>
        <w:left w:val="none" w:sz="0" w:space="0" w:color="auto"/>
        <w:bottom w:val="none" w:sz="0" w:space="0" w:color="auto"/>
        <w:right w:val="none" w:sz="0" w:space="0" w:color="auto"/>
      </w:divBdr>
      <w:divsChild>
        <w:div w:id="538930546">
          <w:marLeft w:val="0"/>
          <w:marRight w:val="0"/>
          <w:marTop w:val="0"/>
          <w:marBottom w:val="0"/>
          <w:divBdr>
            <w:top w:val="none" w:sz="0" w:space="0" w:color="auto"/>
            <w:left w:val="none" w:sz="0" w:space="0" w:color="auto"/>
            <w:bottom w:val="none" w:sz="0" w:space="0" w:color="auto"/>
            <w:right w:val="none" w:sz="0" w:space="0" w:color="auto"/>
          </w:divBdr>
        </w:div>
        <w:div w:id="670255457">
          <w:marLeft w:val="0"/>
          <w:marRight w:val="0"/>
          <w:marTop w:val="0"/>
          <w:marBottom w:val="0"/>
          <w:divBdr>
            <w:top w:val="none" w:sz="0" w:space="0" w:color="auto"/>
            <w:left w:val="none" w:sz="0" w:space="0" w:color="auto"/>
            <w:bottom w:val="none" w:sz="0" w:space="0" w:color="auto"/>
            <w:right w:val="none" w:sz="0" w:space="0" w:color="auto"/>
          </w:divBdr>
        </w:div>
      </w:divsChild>
    </w:div>
    <w:div w:id="1368608121">
      <w:bodyDiv w:val="1"/>
      <w:marLeft w:val="0"/>
      <w:marRight w:val="0"/>
      <w:marTop w:val="0"/>
      <w:marBottom w:val="0"/>
      <w:divBdr>
        <w:top w:val="none" w:sz="0" w:space="0" w:color="auto"/>
        <w:left w:val="none" w:sz="0" w:space="0" w:color="auto"/>
        <w:bottom w:val="none" w:sz="0" w:space="0" w:color="auto"/>
        <w:right w:val="none" w:sz="0" w:space="0" w:color="auto"/>
      </w:divBdr>
    </w:div>
    <w:div w:id="1369068645">
      <w:bodyDiv w:val="1"/>
      <w:marLeft w:val="0"/>
      <w:marRight w:val="0"/>
      <w:marTop w:val="0"/>
      <w:marBottom w:val="0"/>
      <w:divBdr>
        <w:top w:val="none" w:sz="0" w:space="0" w:color="auto"/>
        <w:left w:val="none" w:sz="0" w:space="0" w:color="auto"/>
        <w:bottom w:val="none" w:sz="0" w:space="0" w:color="auto"/>
        <w:right w:val="none" w:sz="0" w:space="0" w:color="auto"/>
      </w:divBdr>
      <w:divsChild>
        <w:div w:id="184027332">
          <w:marLeft w:val="0"/>
          <w:marRight w:val="0"/>
          <w:marTop w:val="0"/>
          <w:marBottom w:val="0"/>
          <w:divBdr>
            <w:top w:val="none" w:sz="0" w:space="0" w:color="auto"/>
            <w:left w:val="none" w:sz="0" w:space="0" w:color="auto"/>
            <w:bottom w:val="none" w:sz="0" w:space="0" w:color="auto"/>
            <w:right w:val="none" w:sz="0" w:space="0" w:color="auto"/>
          </w:divBdr>
        </w:div>
      </w:divsChild>
    </w:div>
    <w:div w:id="1376466442">
      <w:bodyDiv w:val="1"/>
      <w:marLeft w:val="0"/>
      <w:marRight w:val="0"/>
      <w:marTop w:val="0"/>
      <w:marBottom w:val="0"/>
      <w:divBdr>
        <w:top w:val="none" w:sz="0" w:space="0" w:color="auto"/>
        <w:left w:val="none" w:sz="0" w:space="0" w:color="auto"/>
        <w:bottom w:val="none" w:sz="0" w:space="0" w:color="auto"/>
        <w:right w:val="none" w:sz="0" w:space="0" w:color="auto"/>
      </w:divBdr>
      <w:divsChild>
        <w:div w:id="110904967">
          <w:marLeft w:val="0"/>
          <w:marRight w:val="0"/>
          <w:marTop w:val="0"/>
          <w:marBottom w:val="0"/>
          <w:divBdr>
            <w:top w:val="none" w:sz="0" w:space="0" w:color="auto"/>
            <w:left w:val="none" w:sz="0" w:space="0" w:color="auto"/>
            <w:bottom w:val="none" w:sz="0" w:space="0" w:color="auto"/>
            <w:right w:val="none" w:sz="0" w:space="0" w:color="auto"/>
          </w:divBdr>
        </w:div>
      </w:divsChild>
    </w:div>
    <w:div w:id="1399549242">
      <w:bodyDiv w:val="1"/>
      <w:marLeft w:val="0"/>
      <w:marRight w:val="0"/>
      <w:marTop w:val="0"/>
      <w:marBottom w:val="0"/>
      <w:divBdr>
        <w:top w:val="none" w:sz="0" w:space="0" w:color="auto"/>
        <w:left w:val="none" w:sz="0" w:space="0" w:color="auto"/>
        <w:bottom w:val="none" w:sz="0" w:space="0" w:color="auto"/>
        <w:right w:val="none" w:sz="0" w:space="0" w:color="auto"/>
      </w:divBdr>
      <w:divsChild>
        <w:div w:id="923731757">
          <w:marLeft w:val="0"/>
          <w:marRight w:val="0"/>
          <w:marTop w:val="0"/>
          <w:marBottom w:val="0"/>
          <w:divBdr>
            <w:top w:val="none" w:sz="0" w:space="0" w:color="auto"/>
            <w:left w:val="none" w:sz="0" w:space="0" w:color="auto"/>
            <w:bottom w:val="none" w:sz="0" w:space="0" w:color="auto"/>
            <w:right w:val="none" w:sz="0" w:space="0" w:color="auto"/>
          </w:divBdr>
        </w:div>
      </w:divsChild>
    </w:div>
    <w:div w:id="1402484873">
      <w:bodyDiv w:val="1"/>
      <w:marLeft w:val="0"/>
      <w:marRight w:val="0"/>
      <w:marTop w:val="0"/>
      <w:marBottom w:val="0"/>
      <w:divBdr>
        <w:top w:val="none" w:sz="0" w:space="0" w:color="auto"/>
        <w:left w:val="none" w:sz="0" w:space="0" w:color="auto"/>
        <w:bottom w:val="none" w:sz="0" w:space="0" w:color="auto"/>
        <w:right w:val="none" w:sz="0" w:space="0" w:color="auto"/>
      </w:divBdr>
    </w:div>
    <w:div w:id="1411073308">
      <w:bodyDiv w:val="1"/>
      <w:marLeft w:val="0"/>
      <w:marRight w:val="0"/>
      <w:marTop w:val="0"/>
      <w:marBottom w:val="0"/>
      <w:divBdr>
        <w:top w:val="none" w:sz="0" w:space="0" w:color="auto"/>
        <w:left w:val="none" w:sz="0" w:space="0" w:color="auto"/>
        <w:bottom w:val="none" w:sz="0" w:space="0" w:color="auto"/>
        <w:right w:val="none" w:sz="0" w:space="0" w:color="auto"/>
      </w:divBdr>
      <w:divsChild>
        <w:div w:id="2137673065">
          <w:marLeft w:val="0"/>
          <w:marRight w:val="0"/>
          <w:marTop w:val="0"/>
          <w:marBottom w:val="0"/>
          <w:divBdr>
            <w:top w:val="none" w:sz="0" w:space="0" w:color="auto"/>
            <w:left w:val="none" w:sz="0" w:space="0" w:color="auto"/>
            <w:bottom w:val="none" w:sz="0" w:space="0" w:color="auto"/>
            <w:right w:val="none" w:sz="0" w:space="0" w:color="auto"/>
          </w:divBdr>
        </w:div>
      </w:divsChild>
    </w:div>
    <w:div w:id="1459030499">
      <w:bodyDiv w:val="1"/>
      <w:marLeft w:val="0"/>
      <w:marRight w:val="0"/>
      <w:marTop w:val="0"/>
      <w:marBottom w:val="0"/>
      <w:divBdr>
        <w:top w:val="none" w:sz="0" w:space="0" w:color="auto"/>
        <w:left w:val="none" w:sz="0" w:space="0" w:color="auto"/>
        <w:bottom w:val="none" w:sz="0" w:space="0" w:color="auto"/>
        <w:right w:val="none" w:sz="0" w:space="0" w:color="auto"/>
      </w:divBdr>
    </w:div>
    <w:div w:id="1466001077">
      <w:bodyDiv w:val="1"/>
      <w:marLeft w:val="0"/>
      <w:marRight w:val="0"/>
      <w:marTop w:val="0"/>
      <w:marBottom w:val="0"/>
      <w:divBdr>
        <w:top w:val="none" w:sz="0" w:space="0" w:color="auto"/>
        <w:left w:val="none" w:sz="0" w:space="0" w:color="auto"/>
        <w:bottom w:val="none" w:sz="0" w:space="0" w:color="auto"/>
        <w:right w:val="none" w:sz="0" w:space="0" w:color="auto"/>
      </w:divBdr>
    </w:div>
    <w:div w:id="1488981305">
      <w:bodyDiv w:val="1"/>
      <w:marLeft w:val="0"/>
      <w:marRight w:val="0"/>
      <w:marTop w:val="0"/>
      <w:marBottom w:val="0"/>
      <w:divBdr>
        <w:top w:val="none" w:sz="0" w:space="0" w:color="auto"/>
        <w:left w:val="none" w:sz="0" w:space="0" w:color="auto"/>
        <w:bottom w:val="none" w:sz="0" w:space="0" w:color="auto"/>
        <w:right w:val="none" w:sz="0" w:space="0" w:color="auto"/>
      </w:divBdr>
      <w:divsChild>
        <w:div w:id="684987916">
          <w:marLeft w:val="0"/>
          <w:marRight w:val="0"/>
          <w:marTop w:val="0"/>
          <w:marBottom w:val="0"/>
          <w:divBdr>
            <w:top w:val="none" w:sz="0" w:space="0" w:color="auto"/>
            <w:left w:val="none" w:sz="0" w:space="0" w:color="auto"/>
            <w:bottom w:val="none" w:sz="0" w:space="0" w:color="auto"/>
            <w:right w:val="none" w:sz="0" w:space="0" w:color="auto"/>
          </w:divBdr>
        </w:div>
      </w:divsChild>
    </w:div>
    <w:div w:id="1498420739">
      <w:bodyDiv w:val="1"/>
      <w:marLeft w:val="0"/>
      <w:marRight w:val="0"/>
      <w:marTop w:val="0"/>
      <w:marBottom w:val="0"/>
      <w:divBdr>
        <w:top w:val="none" w:sz="0" w:space="0" w:color="auto"/>
        <w:left w:val="none" w:sz="0" w:space="0" w:color="auto"/>
        <w:bottom w:val="none" w:sz="0" w:space="0" w:color="auto"/>
        <w:right w:val="none" w:sz="0" w:space="0" w:color="auto"/>
      </w:divBdr>
      <w:divsChild>
        <w:div w:id="1652128533">
          <w:marLeft w:val="0"/>
          <w:marRight w:val="0"/>
          <w:marTop w:val="0"/>
          <w:marBottom w:val="0"/>
          <w:divBdr>
            <w:top w:val="none" w:sz="0" w:space="0" w:color="auto"/>
            <w:left w:val="none" w:sz="0" w:space="0" w:color="auto"/>
            <w:bottom w:val="none" w:sz="0" w:space="0" w:color="auto"/>
            <w:right w:val="none" w:sz="0" w:space="0" w:color="auto"/>
          </w:divBdr>
        </w:div>
        <w:div w:id="1874806945">
          <w:marLeft w:val="0"/>
          <w:marRight w:val="0"/>
          <w:marTop w:val="0"/>
          <w:marBottom w:val="0"/>
          <w:divBdr>
            <w:top w:val="none" w:sz="0" w:space="0" w:color="auto"/>
            <w:left w:val="none" w:sz="0" w:space="0" w:color="auto"/>
            <w:bottom w:val="none" w:sz="0" w:space="0" w:color="auto"/>
            <w:right w:val="none" w:sz="0" w:space="0" w:color="auto"/>
          </w:divBdr>
        </w:div>
      </w:divsChild>
    </w:div>
    <w:div w:id="1524399108">
      <w:bodyDiv w:val="1"/>
      <w:marLeft w:val="0"/>
      <w:marRight w:val="0"/>
      <w:marTop w:val="0"/>
      <w:marBottom w:val="0"/>
      <w:divBdr>
        <w:top w:val="none" w:sz="0" w:space="0" w:color="auto"/>
        <w:left w:val="none" w:sz="0" w:space="0" w:color="auto"/>
        <w:bottom w:val="none" w:sz="0" w:space="0" w:color="auto"/>
        <w:right w:val="none" w:sz="0" w:space="0" w:color="auto"/>
      </w:divBdr>
    </w:div>
    <w:div w:id="1540506331">
      <w:bodyDiv w:val="1"/>
      <w:marLeft w:val="0"/>
      <w:marRight w:val="0"/>
      <w:marTop w:val="0"/>
      <w:marBottom w:val="0"/>
      <w:divBdr>
        <w:top w:val="none" w:sz="0" w:space="0" w:color="auto"/>
        <w:left w:val="none" w:sz="0" w:space="0" w:color="auto"/>
        <w:bottom w:val="none" w:sz="0" w:space="0" w:color="auto"/>
        <w:right w:val="none" w:sz="0" w:space="0" w:color="auto"/>
      </w:divBdr>
      <w:divsChild>
        <w:div w:id="722099706">
          <w:marLeft w:val="0"/>
          <w:marRight w:val="0"/>
          <w:marTop w:val="0"/>
          <w:marBottom w:val="0"/>
          <w:divBdr>
            <w:top w:val="none" w:sz="0" w:space="0" w:color="auto"/>
            <w:left w:val="none" w:sz="0" w:space="0" w:color="auto"/>
            <w:bottom w:val="none" w:sz="0" w:space="0" w:color="auto"/>
            <w:right w:val="none" w:sz="0" w:space="0" w:color="auto"/>
          </w:divBdr>
        </w:div>
      </w:divsChild>
    </w:div>
    <w:div w:id="1543900883">
      <w:bodyDiv w:val="1"/>
      <w:marLeft w:val="0"/>
      <w:marRight w:val="0"/>
      <w:marTop w:val="0"/>
      <w:marBottom w:val="0"/>
      <w:divBdr>
        <w:top w:val="none" w:sz="0" w:space="0" w:color="auto"/>
        <w:left w:val="none" w:sz="0" w:space="0" w:color="auto"/>
        <w:bottom w:val="none" w:sz="0" w:space="0" w:color="auto"/>
        <w:right w:val="none" w:sz="0" w:space="0" w:color="auto"/>
      </w:divBdr>
      <w:divsChild>
        <w:div w:id="1991592934">
          <w:marLeft w:val="0"/>
          <w:marRight w:val="0"/>
          <w:marTop w:val="0"/>
          <w:marBottom w:val="0"/>
          <w:divBdr>
            <w:top w:val="none" w:sz="0" w:space="0" w:color="auto"/>
            <w:left w:val="none" w:sz="0" w:space="0" w:color="auto"/>
            <w:bottom w:val="none" w:sz="0" w:space="0" w:color="auto"/>
            <w:right w:val="none" w:sz="0" w:space="0" w:color="auto"/>
          </w:divBdr>
        </w:div>
      </w:divsChild>
    </w:div>
    <w:div w:id="1577469891">
      <w:bodyDiv w:val="1"/>
      <w:marLeft w:val="0"/>
      <w:marRight w:val="0"/>
      <w:marTop w:val="0"/>
      <w:marBottom w:val="0"/>
      <w:divBdr>
        <w:top w:val="none" w:sz="0" w:space="0" w:color="auto"/>
        <w:left w:val="none" w:sz="0" w:space="0" w:color="auto"/>
        <w:bottom w:val="none" w:sz="0" w:space="0" w:color="auto"/>
        <w:right w:val="none" w:sz="0" w:space="0" w:color="auto"/>
      </w:divBdr>
    </w:div>
    <w:div w:id="1586573463">
      <w:bodyDiv w:val="1"/>
      <w:marLeft w:val="0"/>
      <w:marRight w:val="0"/>
      <w:marTop w:val="0"/>
      <w:marBottom w:val="0"/>
      <w:divBdr>
        <w:top w:val="none" w:sz="0" w:space="0" w:color="auto"/>
        <w:left w:val="none" w:sz="0" w:space="0" w:color="auto"/>
        <w:bottom w:val="none" w:sz="0" w:space="0" w:color="auto"/>
        <w:right w:val="none" w:sz="0" w:space="0" w:color="auto"/>
      </w:divBdr>
      <w:divsChild>
        <w:div w:id="667446312">
          <w:marLeft w:val="0"/>
          <w:marRight w:val="0"/>
          <w:marTop w:val="0"/>
          <w:marBottom w:val="0"/>
          <w:divBdr>
            <w:top w:val="none" w:sz="0" w:space="0" w:color="auto"/>
            <w:left w:val="none" w:sz="0" w:space="0" w:color="auto"/>
            <w:bottom w:val="none" w:sz="0" w:space="0" w:color="auto"/>
            <w:right w:val="none" w:sz="0" w:space="0" w:color="auto"/>
          </w:divBdr>
        </w:div>
      </w:divsChild>
    </w:div>
    <w:div w:id="1676956508">
      <w:bodyDiv w:val="1"/>
      <w:marLeft w:val="0"/>
      <w:marRight w:val="0"/>
      <w:marTop w:val="0"/>
      <w:marBottom w:val="0"/>
      <w:divBdr>
        <w:top w:val="none" w:sz="0" w:space="0" w:color="auto"/>
        <w:left w:val="none" w:sz="0" w:space="0" w:color="auto"/>
        <w:bottom w:val="none" w:sz="0" w:space="0" w:color="auto"/>
        <w:right w:val="none" w:sz="0" w:space="0" w:color="auto"/>
      </w:divBdr>
      <w:divsChild>
        <w:div w:id="414133464">
          <w:marLeft w:val="0"/>
          <w:marRight w:val="0"/>
          <w:marTop w:val="0"/>
          <w:marBottom w:val="0"/>
          <w:divBdr>
            <w:top w:val="none" w:sz="0" w:space="0" w:color="auto"/>
            <w:left w:val="none" w:sz="0" w:space="0" w:color="auto"/>
            <w:bottom w:val="none" w:sz="0" w:space="0" w:color="auto"/>
            <w:right w:val="none" w:sz="0" w:space="0" w:color="auto"/>
          </w:divBdr>
        </w:div>
      </w:divsChild>
    </w:div>
    <w:div w:id="1689721993">
      <w:bodyDiv w:val="1"/>
      <w:marLeft w:val="0"/>
      <w:marRight w:val="0"/>
      <w:marTop w:val="0"/>
      <w:marBottom w:val="0"/>
      <w:divBdr>
        <w:top w:val="none" w:sz="0" w:space="0" w:color="auto"/>
        <w:left w:val="none" w:sz="0" w:space="0" w:color="auto"/>
        <w:bottom w:val="none" w:sz="0" w:space="0" w:color="auto"/>
        <w:right w:val="none" w:sz="0" w:space="0" w:color="auto"/>
      </w:divBdr>
      <w:divsChild>
        <w:div w:id="1883520981">
          <w:marLeft w:val="0"/>
          <w:marRight w:val="0"/>
          <w:marTop w:val="0"/>
          <w:marBottom w:val="0"/>
          <w:divBdr>
            <w:top w:val="none" w:sz="0" w:space="0" w:color="auto"/>
            <w:left w:val="none" w:sz="0" w:space="0" w:color="auto"/>
            <w:bottom w:val="none" w:sz="0" w:space="0" w:color="auto"/>
            <w:right w:val="none" w:sz="0" w:space="0" w:color="auto"/>
          </w:divBdr>
        </w:div>
      </w:divsChild>
    </w:div>
    <w:div w:id="1690987688">
      <w:bodyDiv w:val="1"/>
      <w:marLeft w:val="0"/>
      <w:marRight w:val="0"/>
      <w:marTop w:val="0"/>
      <w:marBottom w:val="0"/>
      <w:divBdr>
        <w:top w:val="none" w:sz="0" w:space="0" w:color="auto"/>
        <w:left w:val="none" w:sz="0" w:space="0" w:color="auto"/>
        <w:bottom w:val="none" w:sz="0" w:space="0" w:color="auto"/>
        <w:right w:val="none" w:sz="0" w:space="0" w:color="auto"/>
      </w:divBdr>
      <w:divsChild>
        <w:div w:id="1098911184">
          <w:marLeft w:val="0"/>
          <w:marRight w:val="0"/>
          <w:marTop w:val="0"/>
          <w:marBottom w:val="0"/>
          <w:divBdr>
            <w:top w:val="none" w:sz="0" w:space="0" w:color="auto"/>
            <w:left w:val="none" w:sz="0" w:space="0" w:color="auto"/>
            <w:bottom w:val="none" w:sz="0" w:space="0" w:color="auto"/>
            <w:right w:val="none" w:sz="0" w:space="0" w:color="auto"/>
          </w:divBdr>
        </w:div>
      </w:divsChild>
    </w:div>
    <w:div w:id="1694186666">
      <w:bodyDiv w:val="1"/>
      <w:marLeft w:val="0"/>
      <w:marRight w:val="0"/>
      <w:marTop w:val="0"/>
      <w:marBottom w:val="0"/>
      <w:divBdr>
        <w:top w:val="none" w:sz="0" w:space="0" w:color="auto"/>
        <w:left w:val="none" w:sz="0" w:space="0" w:color="auto"/>
        <w:bottom w:val="none" w:sz="0" w:space="0" w:color="auto"/>
        <w:right w:val="none" w:sz="0" w:space="0" w:color="auto"/>
      </w:divBdr>
      <w:divsChild>
        <w:div w:id="1494951127">
          <w:marLeft w:val="0"/>
          <w:marRight w:val="0"/>
          <w:marTop w:val="0"/>
          <w:marBottom w:val="0"/>
          <w:divBdr>
            <w:top w:val="none" w:sz="0" w:space="0" w:color="auto"/>
            <w:left w:val="none" w:sz="0" w:space="0" w:color="auto"/>
            <w:bottom w:val="none" w:sz="0" w:space="0" w:color="auto"/>
            <w:right w:val="none" w:sz="0" w:space="0" w:color="auto"/>
          </w:divBdr>
        </w:div>
      </w:divsChild>
    </w:div>
    <w:div w:id="1702168889">
      <w:bodyDiv w:val="1"/>
      <w:marLeft w:val="0"/>
      <w:marRight w:val="0"/>
      <w:marTop w:val="0"/>
      <w:marBottom w:val="0"/>
      <w:divBdr>
        <w:top w:val="none" w:sz="0" w:space="0" w:color="auto"/>
        <w:left w:val="none" w:sz="0" w:space="0" w:color="auto"/>
        <w:bottom w:val="none" w:sz="0" w:space="0" w:color="auto"/>
        <w:right w:val="none" w:sz="0" w:space="0" w:color="auto"/>
      </w:divBdr>
    </w:div>
    <w:div w:id="1716810476">
      <w:bodyDiv w:val="1"/>
      <w:marLeft w:val="0"/>
      <w:marRight w:val="0"/>
      <w:marTop w:val="0"/>
      <w:marBottom w:val="0"/>
      <w:divBdr>
        <w:top w:val="none" w:sz="0" w:space="0" w:color="auto"/>
        <w:left w:val="none" w:sz="0" w:space="0" w:color="auto"/>
        <w:bottom w:val="none" w:sz="0" w:space="0" w:color="auto"/>
        <w:right w:val="none" w:sz="0" w:space="0" w:color="auto"/>
      </w:divBdr>
    </w:div>
    <w:div w:id="1727609336">
      <w:bodyDiv w:val="1"/>
      <w:marLeft w:val="0"/>
      <w:marRight w:val="0"/>
      <w:marTop w:val="0"/>
      <w:marBottom w:val="0"/>
      <w:divBdr>
        <w:top w:val="none" w:sz="0" w:space="0" w:color="auto"/>
        <w:left w:val="none" w:sz="0" w:space="0" w:color="auto"/>
        <w:bottom w:val="none" w:sz="0" w:space="0" w:color="auto"/>
        <w:right w:val="none" w:sz="0" w:space="0" w:color="auto"/>
      </w:divBdr>
    </w:div>
    <w:div w:id="1741058777">
      <w:bodyDiv w:val="1"/>
      <w:marLeft w:val="0"/>
      <w:marRight w:val="0"/>
      <w:marTop w:val="0"/>
      <w:marBottom w:val="0"/>
      <w:divBdr>
        <w:top w:val="none" w:sz="0" w:space="0" w:color="auto"/>
        <w:left w:val="none" w:sz="0" w:space="0" w:color="auto"/>
        <w:bottom w:val="none" w:sz="0" w:space="0" w:color="auto"/>
        <w:right w:val="none" w:sz="0" w:space="0" w:color="auto"/>
      </w:divBdr>
      <w:divsChild>
        <w:div w:id="1647473034">
          <w:marLeft w:val="0"/>
          <w:marRight w:val="0"/>
          <w:marTop w:val="0"/>
          <w:marBottom w:val="0"/>
          <w:divBdr>
            <w:top w:val="none" w:sz="0" w:space="0" w:color="auto"/>
            <w:left w:val="none" w:sz="0" w:space="0" w:color="auto"/>
            <w:bottom w:val="none" w:sz="0" w:space="0" w:color="auto"/>
            <w:right w:val="none" w:sz="0" w:space="0" w:color="auto"/>
          </w:divBdr>
        </w:div>
      </w:divsChild>
    </w:div>
    <w:div w:id="1751808013">
      <w:bodyDiv w:val="1"/>
      <w:marLeft w:val="0"/>
      <w:marRight w:val="0"/>
      <w:marTop w:val="0"/>
      <w:marBottom w:val="0"/>
      <w:divBdr>
        <w:top w:val="none" w:sz="0" w:space="0" w:color="auto"/>
        <w:left w:val="none" w:sz="0" w:space="0" w:color="auto"/>
        <w:bottom w:val="none" w:sz="0" w:space="0" w:color="auto"/>
        <w:right w:val="none" w:sz="0" w:space="0" w:color="auto"/>
      </w:divBdr>
    </w:div>
    <w:div w:id="1753044056">
      <w:bodyDiv w:val="1"/>
      <w:marLeft w:val="0"/>
      <w:marRight w:val="0"/>
      <w:marTop w:val="0"/>
      <w:marBottom w:val="0"/>
      <w:divBdr>
        <w:top w:val="none" w:sz="0" w:space="0" w:color="auto"/>
        <w:left w:val="none" w:sz="0" w:space="0" w:color="auto"/>
        <w:bottom w:val="none" w:sz="0" w:space="0" w:color="auto"/>
        <w:right w:val="none" w:sz="0" w:space="0" w:color="auto"/>
      </w:divBdr>
    </w:div>
    <w:div w:id="1753895574">
      <w:bodyDiv w:val="1"/>
      <w:marLeft w:val="0"/>
      <w:marRight w:val="0"/>
      <w:marTop w:val="0"/>
      <w:marBottom w:val="0"/>
      <w:divBdr>
        <w:top w:val="none" w:sz="0" w:space="0" w:color="auto"/>
        <w:left w:val="none" w:sz="0" w:space="0" w:color="auto"/>
        <w:bottom w:val="none" w:sz="0" w:space="0" w:color="auto"/>
        <w:right w:val="none" w:sz="0" w:space="0" w:color="auto"/>
      </w:divBdr>
    </w:div>
    <w:div w:id="1764103797">
      <w:bodyDiv w:val="1"/>
      <w:marLeft w:val="0"/>
      <w:marRight w:val="0"/>
      <w:marTop w:val="0"/>
      <w:marBottom w:val="0"/>
      <w:divBdr>
        <w:top w:val="none" w:sz="0" w:space="0" w:color="auto"/>
        <w:left w:val="none" w:sz="0" w:space="0" w:color="auto"/>
        <w:bottom w:val="none" w:sz="0" w:space="0" w:color="auto"/>
        <w:right w:val="none" w:sz="0" w:space="0" w:color="auto"/>
      </w:divBdr>
      <w:divsChild>
        <w:div w:id="492264417">
          <w:marLeft w:val="0"/>
          <w:marRight w:val="0"/>
          <w:marTop w:val="0"/>
          <w:marBottom w:val="0"/>
          <w:divBdr>
            <w:top w:val="none" w:sz="0" w:space="0" w:color="auto"/>
            <w:left w:val="none" w:sz="0" w:space="0" w:color="auto"/>
            <w:bottom w:val="none" w:sz="0" w:space="0" w:color="auto"/>
            <w:right w:val="none" w:sz="0" w:space="0" w:color="auto"/>
          </w:divBdr>
        </w:div>
      </w:divsChild>
    </w:div>
    <w:div w:id="1785998173">
      <w:bodyDiv w:val="1"/>
      <w:marLeft w:val="0"/>
      <w:marRight w:val="0"/>
      <w:marTop w:val="0"/>
      <w:marBottom w:val="0"/>
      <w:divBdr>
        <w:top w:val="none" w:sz="0" w:space="0" w:color="auto"/>
        <w:left w:val="none" w:sz="0" w:space="0" w:color="auto"/>
        <w:bottom w:val="none" w:sz="0" w:space="0" w:color="auto"/>
        <w:right w:val="none" w:sz="0" w:space="0" w:color="auto"/>
      </w:divBdr>
    </w:div>
    <w:div w:id="1800148744">
      <w:bodyDiv w:val="1"/>
      <w:marLeft w:val="0"/>
      <w:marRight w:val="0"/>
      <w:marTop w:val="0"/>
      <w:marBottom w:val="0"/>
      <w:divBdr>
        <w:top w:val="none" w:sz="0" w:space="0" w:color="auto"/>
        <w:left w:val="none" w:sz="0" w:space="0" w:color="auto"/>
        <w:bottom w:val="none" w:sz="0" w:space="0" w:color="auto"/>
        <w:right w:val="none" w:sz="0" w:space="0" w:color="auto"/>
      </w:divBdr>
    </w:div>
    <w:div w:id="1856571391">
      <w:bodyDiv w:val="1"/>
      <w:marLeft w:val="0"/>
      <w:marRight w:val="0"/>
      <w:marTop w:val="0"/>
      <w:marBottom w:val="0"/>
      <w:divBdr>
        <w:top w:val="none" w:sz="0" w:space="0" w:color="auto"/>
        <w:left w:val="none" w:sz="0" w:space="0" w:color="auto"/>
        <w:bottom w:val="none" w:sz="0" w:space="0" w:color="auto"/>
        <w:right w:val="none" w:sz="0" w:space="0" w:color="auto"/>
      </w:divBdr>
    </w:div>
    <w:div w:id="1858032084">
      <w:bodyDiv w:val="1"/>
      <w:marLeft w:val="0"/>
      <w:marRight w:val="0"/>
      <w:marTop w:val="0"/>
      <w:marBottom w:val="0"/>
      <w:divBdr>
        <w:top w:val="none" w:sz="0" w:space="0" w:color="auto"/>
        <w:left w:val="none" w:sz="0" w:space="0" w:color="auto"/>
        <w:bottom w:val="none" w:sz="0" w:space="0" w:color="auto"/>
        <w:right w:val="none" w:sz="0" w:space="0" w:color="auto"/>
      </w:divBdr>
      <w:divsChild>
        <w:div w:id="752891911">
          <w:marLeft w:val="0"/>
          <w:marRight w:val="0"/>
          <w:marTop w:val="0"/>
          <w:marBottom w:val="0"/>
          <w:divBdr>
            <w:top w:val="none" w:sz="0" w:space="0" w:color="auto"/>
            <w:left w:val="none" w:sz="0" w:space="0" w:color="auto"/>
            <w:bottom w:val="none" w:sz="0" w:space="0" w:color="auto"/>
            <w:right w:val="none" w:sz="0" w:space="0" w:color="auto"/>
          </w:divBdr>
        </w:div>
      </w:divsChild>
    </w:div>
    <w:div w:id="1871844576">
      <w:bodyDiv w:val="1"/>
      <w:marLeft w:val="0"/>
      <w:marRight w:val="0"/>
      <w:marTop w:val="0"/>
      <w:marBottom w:val="0"/>
      <w:divBdr>
        <w:top w:val="none" w:sz="0" w:space="0" w:color="auto"/>
        <w:left w:val="none" w:sz="0" w:space="0" w:color="auto"/>
        <w:bottom w:val="none" w:sz="0" w:space="0" w:color="auto"/>
        <w:right w:val="none" w:sz="0" w:space="0" w:color="auto"/>
      </w:divBdr>
    </w:div>
    <w:div w:id="1904023136">
      <w:bodyDiv w:val="1"/>
      <w:marLeft w:val="0"/>
      <w:marRight w:val="0"/>
      <w:marTop w:val="0"/>
      <w:marBottom w:val="0"/>
      <w:divBdr>
        <w:top w:val="none" w:sz="0" w:space="0" w:color="auto"/>
        <w:left w:val="none" w:sz="0" w:space="0" w:color="auto"/>
        <w:bottom w:val="none" w:sz="0" w:space="0" w:color="auto"/>
        <w:right w:val="none" w:sz="0" w:space="0" w:color="auto"/>
      </w:divBdr>
      <w:divsChild>
        <w:div w:id="1156527791">
          <w:marLeft w:val="0"/>
          <w:marRight w:val="0"/>
          <w:marTop w:val="0"/>
          <w:marBottom w:val="0"/>
          <w:divBdr>
            <w:top w:val="none" w:sz="0" w:space="0" w:color="auto"/>
            <w:left w:val="none" w:sz="0" w:space="0" w:color="auto"/>
            <w:bottom w:val="none" w:sz="0" w:space="0" w:color="auto"/>
            <w:right w:val="none" w:sz="0" w:space="0" w:color="auto"/>
          </w:divBdr>
        </w:div>
      </w:divsChild>
    </w:div>
    <w:div w:id="2019698608">
      <w:bodyDiv w:val="1"/>
      <w:marLeft w:val="0"/>
      <w:marRight w:val="0"/>
      <w:marTop w:val="0"/>
      <w:marBottom w:val="0"/>
      <w:divBdr>
        <w:top w:val="none" w:sz="0" w:space="0" w:color="auto"/>
        <w:left w:val="none" w:sz="0" w:space="0" w:color="auto"/>
        <w:bottom w:val="none" w:sz="0" w:space="0" w:color="auto"/>
        <w:right w:val="none" w:sz="0" w:space="0" w:color="auto"/>
      </w:divBdr>
      <w:divsChild>
        <w:div w:id="180047143">
          <w:marLeft w:val="0"/>
          <w:marRight w:val="0"/>
          <w:marTop w:val="0"/>
          <w:marBottom w:val="0"/>
          <w:divBdr>
            <w:top w:val="none" w:sz="0" w:space="0" w:color="auto"/>
            <w:left w:val="none" w:sz="0" w:space="0" w:color="auto"/>
            <w:bottom w:val="none" w:sz="0" w:space="0" w:color="auto"/>
            <w:right w:val="none" w:sz="0" w:space="0" w:color="auto"/>
          </w:divBdr>
          <w:divsChild>
            <w:div w:id="9110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2648">
      <w:bodyDiv w:val="1"/>
      <w:marLeft w:val="0"/>
      <w:marRight w:val="0"/>
      <w:marTop w:val="0"/>
      <w:marBottom w:val="0"/>
      <w:divBdr>
        <w:top w:val="none" w:sz="0" w:space="0" w:color="auto"/>
        <w:left w:val="none" w:sz="0" w:space="0" w:color="auto"/>
        <w:bottom w:val="none" w:sz="0" w:space="0" w:color="auto"/>
        <w:right w:val="none" w:sz="0" w:space="0" w:color="auto"/>
      </w:divBdr>
    </w:div>
    <w:div w:id="2049450289">
      <w:bodyDiv w:val="1"/>
      <w:marLeft w:val="0"/>
      <w:marRight w:val="0"/>
      <w:marTop w:val="0"/>
      <w:marBottom w:val="0"/>
      <w:divBdr>
        <w:top w:val="none" w:sz="0" w:space="0" w:color="auto"/>
        <w:left w:val="none" w:sz="0" w:space="0" w:color="auto"/>
        <w:bottom w:val="none" w:sz="0" w:space="0" w:color="auto"/>
        <w:right w:val="none" w:sz="0" w:space="0" w:color="auto"/>
      </w:divBdr>
      <w:divsChild>
        <w:div w:id="271788365">
          <w:marLeft w:val="0"/>
          <w:marRight w:val="0"/>
          <w:marTop w:val="0"/>
          <w:marBottom w:val="0"/>
          <w:divBdr>
            <w:top w:val="none" w:sz="0" w:space="0" w:color="auto"/>
            <w:left w:val="none" w:sz="0" w:space="0" w:color="auto"/>
            <w:bottom w:val="none" w:sz="0" w:space="0" w:color="auto"/>
            <w:right w:val="none" w:sz="0" w:space="0" w:color="auto"/>
          </w:divBdr>
        </w:div>
      </w:divsChild>
    </w:div>
    <w:div w:id="2092581773">
      <w:bodyDiv w:val="1"/>
      <w:marLeft w:val="0"/>
      <w:marRight w:val="0"/>
      <w:marTop w:val="0"/>
      <w:marBottom w:val="0"/>
      <w:divBdr>
        <w:top w:val="none" w:sz="0" w:space="0" w:color="auto"/>
        <w:left w:val="none" w:sz="0" w:space="0" w:color="auto"/>
        <w:bottom w:val="none" w:sz="0" w:space="0" w:color="auto"/>
        <w:right w:val="none" w:sz="0" w:space="0" w:color="auto"/>
      </w:divBdr>
    </w:div>
    <w:div w:id="2097945007">
      <w:bodyDiv w:val="1"/>
      <w:marLeft w:val="0"/>
      <w:marRight w:val="0"/>
      <w:marTop w:val="0"/>
      <w:marBottom w:val="0"/>
      <w:divBdr>
        <w:top w:val="none" w:sz="0" w:space="0" w:color="auto"/>
        <w:left w:val="none" w:sz="0" w:space="0" w:color="auto"/>
        <w:bottom w:val="none" w:sz="0" w:space="0" w:color="auto"/>
        <w:right w:val="none" w:sz="0" w:space="0" w:color="auto"/>
      </w:divBdr>
      <w:divsChild>
        <w:div w:id="857618633">
          <w:marLeft w:val="0"/>
          <w:marRight w:val="0"/>
          <w:marTop w:val="0"/>
          <w:marBottom w:val="0"/>
          <w:divBdr>
            <w:top w:val="none" w:sz="0" w:space="0" w:color="auto"/>
            <w:left w:val="none" w:sz="0" w:space="0" w:color="auto"/>
            <w:bottom w:val="none" w:sz="0" w:space="0" w:color="auto"/>
            <w:right w:val="none" w:sz="0" w:space="0" w:color="auto"/>
          </w:divBdr>
        </w:div>
      </w:divsChild>
    </w:div>
    <w:div w:id="2123109766">
      <w:bodyDiv w:val="1"/>
      <w:marLeft w:val="0"/>
      <w:marRight w:val="0"/>
      <w:marTop w:val="0"/>
      <w:marBottom w:val="0"/>
      <w:divBdr>
        <w:top w:val="none" w:sz="0" w:space="0" w:color="auto"/>
        <w:left w:val="none" w:sz="0" w:space="0" w:color="auto"/>
        <w:bottom w:val="none" w:sz="0" w:space="0" w:color="auto"/>
        <w:right w:val="none" w:sz="0" w:space="0" w:color="auto"/>
      </w:divBdr>
    </w:div>
    <w:div w:id="2134666769">
      <w:bodyDiv w:val="1"/>
      <w:marLeft w:val="0"/>
      <w:marRight w:val="0"/>
      <w:marTop w:val="0"/>
      <w:marBottom w:val="0"/>
      <w:divBdr>
        <w:top w:val="none" w:sz="0" w:space="0" w:color="auto"/>
        <w:left w:val="none" w:sz="0" w:space="0" w:color="auto"/>
        <w:bottom w:val="none" w:sz="0" w:space="0" w:color="auto"/>
        <w:right w:val="none" w:sz="0" w:space="0" w:color="auto"/>
      </w:divBdr>
      <w:divsChild>
        <w:div w:id="2127649131">
          <w:marLeft w:val="0"/>
          <w:marRight w:val="0"/>
          <w:marTop w:val="0"/>
          <w:marBottom w:val="0"/>
          <w:divBdr>
            <w:top w:val="none" w:sz="0" w:space="0" w:color="auto"/>
            <w:left w:val="none" w:sz="0" w:space="0" w:color="auto"/>
            <w:bottom w:val="none" w:sz="0" w:space="0" w:color="auto"/>
            <w:right w:val="none" w:sz="0" w:space="0" w:color="auto"/>
          </w:divBdr>
        </w:div>
      </w:divsChild>
    </w:div>
    <w:div w:id="2137748307">
      <w:bodyDiv w:val="1"/>
      <w:marLeft w:val="0"/>
      <w:marRight w:val="0"/>
      <w:marTop w:val="0"/>
      <w:marBottom w:val="0"/>
      <w:divBdr>
        <w:top w:val="none" w:sz="0" w:space="0" w:color="auto"/>
        <w:left w:val="none" w:sz="0" w:space="0" w:color="auto"/>
        <w:bottom w:val="none" w:sz="0" w:space="0" w:color="auto"/>
        <w:right w:val="none" w:sz="0" w:space="0" w:color="auto"/>
      </w:divBdr>
      <w:divsChild>
        <w:div w:id="46801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mir\Dropbox\OBHDP%20project\OBHDP%20submission\2nd%20R%20and%20R\Process%20Study%20V2\Blocks_Cond_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c:f>
              <c:strCache>
                <c:ptCount val="1"/>
                <c:pt idx="0">
                  <c:v>Repeated</c:v>
                </c:pt>
              </c:strCache>
            </c:strRef>
          </c:tx>
          <c:spPr>
            <a:solidFill>
              <a:schemeClr val="bg1"/>
            </a:solidFill>
            <a:ln w="15875">
              <a:solidFill>
                <a:schemeClr val="tx1"/>
              </a:solidFill>
            </a:ln>
            <a:effectLst/>
          </c:spPr>
          <c:invertIfNegative val="0"/>
          <c:errBars>
            <c:errBarType val="both"/>
            <c:errValType val="cust"/>
            <c:noEndCap val="0"/>
            <c:plus>
              <c:numRef>
                <c:f>Sheet1!$F$4</c:f>
                <c:numCache>
                  <c:formatCode>General</c:formatCode>
                  <c:ptCount val="1"/>
                  <c:pt idx="0">
                    <c:v>0.04</c:v>
                  </c:pt>
                </c:numCache>
              </c:numRef>
            </c:plus>
            <c:minus>
              <c:numRef>
                <c:f>Sheet1!$F$4</c:f>
                <c:numCache>
                  <c:formatCode>General</c:formatCode>
                  <c:ptCount val="1"/>
                  <c:pt idx="0">
                    <c:v>0.04</c:v>
                  </c:pt>
                </c:numCache>
              </c:numRef>
            </c:minus>
            <c:spPr>
              <a:noFill/>
              <a:ln w="9525" cap="flat" cmpd="sng" algn="ctr">
                <a:solidFill>
                  <a:schemeClr val="tx1">
                    <a:lumMod val="65000"/>
                    <a:lumOff val="35000"/>
                  </a:schemeClr>
                </a:solidFill>
                <a:round/>
              </a:ln>
              <a:effectLst/>
            </c:spPr>
          </c:errBars>
          <c:cat>
            <c:strRef>
              <c:f>Sheet1!$C$3:$D$3</c:f>
              <c:strCache>
                <c:ptCount val="2"/>
                <c:pt idx="0">
                  <c:v>Control</c:v>
                </c:pt>
                <c:pt idx="1">
                  <c:v>Education</c:v>
                </c:pt>
              </c:strCache>
            </c:strRef>
          </c:cat>
          <c:val>
            <c:numRef>
              <c:f>Sheet1!$C$4:$D$4</c:f>
              <c:numCache>
                <c:formatCode>General</c:formatCode>
                <c:ptCount val="2"/>
                <c:pt idx="0">
                  <c:v>0.31</c:v>
                </c:pt>
                <c:pt idx="1">
                  <c:v>0.39</c:v>
                </c:pt>
              </c:numCache>
            </c:numRef>
          </c:val>
          <c:extLst>
            <c:ext xmlns:c16="http://schemas.microsoft.com/office/drawing/2014/chart" uri="{C3380CC4-5D6E-409C-BE32-E72D297353CC}">
              <c16:uniqueId val="{00000000-1A8F-4DD0-B6AB-E743EA3B3317}"/>
            </c:ext>
          </c:extLst>
        </c:ser>
        <c:ser>
          <c:idx val="1"/>
          <c:order val="1"/>
          <c:tx>
            <c:strRef>
              <c:f>Sheet1!$B$5</c:f>
              <c:strCache>
                <c:ptCount val="1"/>
                <c:pt idx="0">
                  <c:v>Precommitted</c:v>
                </c:pt>
              </c:strCache>
            </c:strRef>
          </c:tx>
          <c:spPr>
            <a:solidFill>
              <a:schemeClr val="bg2">
                <a:lumMod val="75000"/>
              </a:schemeClr>
            </a:solidFill>
            <a:ln w="15875">
              <a:solidFill>
                <a:schemeClr val="tx1"/>
              </a:solidFill>
            </a:ln>
            <a:effectLst/>
          </c:spPr>
          <c:invertIfNegative val="0"/>
          <c:errBars>
            <c:errBarType val="both"/>
            <c:errValType val="cust"/>
            <c:noEndCap val="0"/>
            <c:plus>
              <c:numRef>
                <c:f>Sheet1!$F$4</c:f>
                <c:numCache>
                  <c:formatCode>General</c:formatCode>
                  <c:ptCount val="1"/>
                  <c:pt idx="0">
                    <c:v>0.04</c:v>
                  </c:pt>
                </c:numCache>
              </c:numRef>
            </c:plus>
            <c:minus>
              <c:numRef>
                <c:f>Sheet1!$F$4</c:f>
                <c:numCache>
                  <c:formatCode>General</c:formatCode>
                  <c:ptCount val="1"/>
                  <c:pt idx="0">
                    <c:v>0.04</c:v>
                  </c:pt>
                </c:numCache>
              </c:numRef>
            </c:minus>
            <c:spPr>
              <a:noFill/>
              <a:ln w="9525" cap="flat" cmpd="sng" algn="ctr">
                <a:solidFill>
                  <a:schemeClr val="tx1">
                    <a:lumMod val="65000"/>
                    <a:lumOff val="35000"/>
                  </a:schemeClr>
                </a:solidFill>
                <a:round/>
              </a:ln>
              <a:effectLst/>
            </c:spPr>
          </c:errBars>
          <c:cat>
            <c:strRef>
              <c:f>Sheet1!$C$3:$D$3</c:f>
              <c:strCache>
                <c:ptCount val="2"/>
                <c:pt idx="0">
                  <c:v>Control</c:v>
                </c:pt>
                <c:pt idx="1">
                  <c:v>Education</c:v>
                </c:pt>
              </c:strCache>
            </c:strRef>
          </c:cat>
          <c:val>
            <c:numRef>
              <c:f>Sheet1!$C$5:$D$5</c:f>
              <c:numCache>
                <c:formatCode>General</c:formatCode>
                <c:ptCount val="2"/>
                <c:pt idx="0">
                  <c:v>0.51</c:v>
                </c:pt>
                <c:pt idx="1">
                  <c:v>0.56999999999999995</c:v>
                </c:pt>
              </c:numCache>
            </c:numRef>
          </c:val>
          <c:extLst>
            <c:ext xmlns:c16="http://schemas.microsoft.com/office/drawing/2014/chart" uri="{C3380CC4-5D6E-409C-BE32-E72D297353CC}">
              <c16:uniqueId val="{00000001-1A8F-4DD0-B6AB-E743EA3B3317}"/>
            </c:ext>
          </c:extLst>
        </c:ser>
        <c:dLbls>
          <c:showLegendKey val="0"/>
          <c:showVal val="0"/>
          <c:showCatName val="0"/>
          <c:showSerName val="0"/>
          <c:showPercent val="0"/>
          <c:showBubbleSize val="0"/>
        </c:dLbls>
        <c:gapWidth val="219"/>
        <c:overlap val="-27"/>
        <c:axId val="409796512"/>
        <c:axId val="409795200"/>
      </c:barChart>
      <c:catAx>
        <c:axId val="40979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9795200"/>
        <c:crosses val="autoZero"/>
        <c:auto val="1"/>
        <c:lblAlgn val="ctr"/>
        <c:lblOffset val="100"/>
        <c:noMultiLvlLbl val="0"/>
      </c:catAx>
      <c:valAx>
        <c:axId val="40979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CA"/>
                  <a:t>Proportion of safe choices</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979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Sheet1!$C$6</c:f>
              <c:strCache>
                <c:ptCount val="1"/>
                <c:pt idx="0">
                  <c:v>Repeated</c:v>
                </c:pt>
              </c:strCache>
            </c:strRef>
          </c:tx>
          <c:spPr>
            <a:solidFill>
              <a:schemeClr val="bg1"/>
            </a:solidFill>
            <a:ln w="15875">
              <a:solidFill>
                <a:schemeClr val="tx1"/>
              </a:solidFill>
            </a:ln>
            <a:effectLst/>
          </c:spPr>
          <c:invertIfNegative val="0"/>
          <c:errBars>
            <c:errBarType val="both"/>
            <c:errValType val="cust"/>
            <c:noEndCap val="0"/>
            <c:plus>
              <c:numRef>
                <c:f>Sheet1!$I$5</c:f>
                <c:numCache>
                  <c:formatCode>General</c:formatCode>
                  <c:ptCount val="1"/>
                  <c:pt idx="0">
                    <c:v>0.04</c:v>
                  </c:pt>
                </c:numCache>
              </c:numRef>
            </c:plus>
            <c:minus>
              <c:numRef>
                <c:f>Sheet1!$I$5</c:f>
                <c:numCache>
                  <c:formatCode>General</c:formatCode>
                  <c:ptCount val="1"/>
                  <c:pt idx="0">
                    <c:v>0.04</c:v>
                  </c:pt>
                </c:numCache>
              </c:numRef>
            </c:minus>
            <c:spPr>
              <a:noFill/>
              <a:ln w="9525" cap="flat" cmpd="sng" algn="ctr">
                <a:solidFill>
                  <a:schemeClr val="tx1">
                    <a:lumMod val="65000"/>
                    <a:lumOff val="35000"/>
                  </a:schemeClr>
                </a:solidFill>
                <a:round/>
              </a:ln>
              <a:effectLst/>
            </c:spPr>
          </c:errBars>
          <c:cat>
            <c:multiLvlStrRef>
              <c:f>Sheet1!$D$4:$F$5</c:f>
              <c:multiLvlStrCache>
                <c:ptCount val="3"/>
                <c:lvl>
                  <c:pt idx="0">
                    <c:v>20</c:v>
                  </c:pt>
                  <c:pt idx="1">
                    <c:v>10</c:v>
                  </c:pt>
                  <c:pt idx="2">
                    <c:v>5</c:v>
                  </c:pt>
                </c:lvl>
                <c:lvl>
                  <c:pt idx="0">
                    <c:v>Number of rounds</c:v>
                  </c:pt>
                </c:lvl>
              </c:multiLvlStrCache>
            </c:multiLvlStrRef>
          </c:cat>
          <c:val>
            <c:numRef>
              <c:f>Sheet1!$D$6:$F$6</c:f>
              <c:numCache>
                <c:formatCode>General</c:formatCode>
                <c:ptCount val="3"/>
                <c:pt idx="0">
                  <c:v>0.34</c:v>
                </c:pt>
                <c:pt idx="1">
                  <c:v>0.34</c:v>
                </c:pt>
                <c:pt idx="2">
                  <c:v>0.28000000000000003</c:v>
                </c:pt>
              </c:numCache>
            </c:numRef>
          </c:val>
          <c:extLst>
            <c:ext xmlns:c16="http://schemas.microsoft.com/office/drawing/2014/chart" uri="{C3380CC4-5D6E-409C-BE32-E72D297353CC}">
              <c16:uniqueId val="{00000000-1A14-4CC0-A70E-85D135CF2248}"/>
            </c:ext>
          </c:extLst>
        </c:ser>
        <c:ser>
          <c:idx val="1"/>
          <c:order val="1"/>
          <c:tx>
            <c:strRef>
              <c:f>Sheet1!$C$7</c:f>
              <c:strCache>
                <c:ptCount val="1"/>
                <c:pt idx="0">
                  <c:v>Precommitted</c:v>
                </c:pt>
              </c:strCache>
            </c:strRef>
          </c:tx>
          <c:spPr>
            <a:solidFill>
              <a:schemeClr val="bg2">
                <a:lumMod val="75000"/>
              </a:schemeClr>
            </a:solidFill>
            <a:ln w="15875">
              <a:solidFill>
                <a:schemeClr val="tx1"/>
              </a:solidFill>
            </a:ln>
            <a:effectLst/>
          </c:spPr>
          <c:invertIfNegative val="0"/>
          <c:errBars>
            <c:errBarType val="both"/>
            <c:errValType val="cust"/>
            <c:noEndCap val="0"/>
            <c:plus>
              <c:numRef>
                <c:f>Sheet1!$I$5</c:f>
                <c:numCache>
                  <c:formatCode>General</c:formatCode>
                  <c:ptCount val="1"/>
                  <c:pt idx="0">
                    <c:v>0.04</c:v>
                  </c:pt>
                </c:numCache>
              </c:numRef>
            </c:plus>
            <c:minus>
              <c:numRef>
                <c:f>Sheet1!$I$5</c:f>
                <c:numCache>
                  <c:formatCode>General</c:formatCode>
                  <c:ptCount val="1"/>
                  <c:pt idx="0">
                    <c:v>0.04</c:v>
                  </c:pt>
                </c:numCache>
              </c:numRef>
            </c:minus>
            <c:spPr>
              <a:noFill/>
              <a:ln w="9525" cap="flat" cmpd="sng" algn="ctr">
                <a:solidFill>
                  <a:schemeClr val="tx1">
                    <a:lumMod val="65000"/>
                    <a:lumOff val="35000"/>
                  </a:schemeClr>
                </a:solidFill>
                <a:round/>
              </a:ln>
              <a:effectLst/>
            </c:spPr>
          </c:errBars>
          <c:cat>
            <c:multiLvlStrRef>
              <c:f>Sheet1!$D$4:$F$5</c:f>
              <c:multiLvlStrCache>
                <c:ptCount val="3"/>
                <c:lvl>
                  <c:pt idx="0">
                    <c:v>20</c:v>
                  </c:pt>
                  <c:pt idx="1">
                    <c:v>10</c:v>
                  </c:pt>
                  <c:pt idx="2">
                    <c:v>5</c:v>
                  </c:pt>
                </c:lvl>
                <c:lvl>
                  <c:pt idx="0">
                    <c:v>Number of rounds</c:v>
                  </c:pt>
                </c:lvl>
              </c:multiLvlStrCache>
            </c:multiLvlStrRef>
          </c:cat>
          <c:val>
            <c:numRef>
              <c:f>Sheet1!$D$7:$F$7</c:f>
              <c:numCache>
                <c:formatCode>General</c:formatCode>
                <c:ptCount val="3"/>
                <c:pt idx="0">
                  <c:v>0.48</c:v>
                </c:pt>
                <c:pt idx="1">
                  <c:v>0.51</c:v>
                </c:pt>
                <c:pt idx="2">
                  <c:v>0.43</c:v>
                </c:pt>
              </c:numCache>
            </c:numRef>
          </c:val>
          <c:extLst>
            <c:ext xmlns:c16="http://schemas.microsoft.com/office/drawing/2014/chart" uri="{C3380CC4-5D6E-409C-BE32-E72D297353CC}">
              <c16:uniqueId val="{00000001-1A14-4CC0-A70E-85D135CF2248}"/>
            </c:ext>
          </c:extLst>
        </c:ser>
        <c:dLbls>
          <c:showLegendKey val="0"/>
          <c:showVal val="0"/>
          <c:showCatName val="0"/>
          <c:showSerName val="0"/>
          <c:showPercent val="0"/>
          <c:showBubbleSize val="0"/>
        </c:dLbls>
        <c:gapWidth val="219"/>
        <c:overlap val="-27"/>
        <c:axId val="407052552"/>
        <c:axId val="407057472"/>
      </c:barChart>
      <c:catAx>
        <c:axId val="407052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7057472"/>
        <c:crosses val="autoZero"/>
        <c:auto val="1"/>
        <c:lblAlgn val="ctr"/>
        <c:lblOffset val="100"/>
        <c:noMultiLvlLbl val="0"/>
      </c:catAx>
      <c:valAx>
        <c:axId val="40705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CA"/>
                  <a:t>Proportion of safe choices</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7052552"/>
        <c:crosses val="autoZero"/>
        <c:crossBetween val="between"/>
      </c:valAx>
      <c:spPr>
        <a:noFill/>
        <a:ln>
          <a:noFill/>
        </a:ln>
        <a:effectLst/>
      </c:spPr>
    </c:plotArea>
    <c:legend>
      <c:legendPos val="b"/>
      <c:layout>
        <c:manualLayout>
          <c:xMode val="edge"/>
          <c:yMode val="edge"/>
          <c:x val="0.64023812091981658"/>
          <c:y val="0.91134233561899902"/>
          <c:w val="0.33969116360454943"/>
          <c:h val="7.3450714494021574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solidFill>
            <a:ln w="19050">
              <a:solidFill>
                <a:schemeClr val="tx1"/>
              </a:solidFill>
            </a:ln>
            <a:effectLst/>
          </c:spPr>
          <c:invertIfNegative val="0"/>
          <c:errBars>
            <c:errBarType val="both"/>
            <c:errValType val="cust"/>
            <c:noEndCap val="0"/>
            <c:plus>
              <c:numRef>
                <c:f>Sheet1!$C$9</c:f>
                <c:numCache>
                  <c:formatCode>General</c:formatCode>
                  <c:ptCount val="1"/>
                  <c:pt idx="0">
                    <c:v>0.04</c:v>
                  </c:pt>
                </c:numCache>
              </c:numRef>
            </c:plus>
            <c:minus>
              <c:numRef>
                <c:f>Sheet1!$C$9</c:f>
                <c:numCache>
                  <c:formatCode>General</c:formatCode>
                  <c:ptCount val="1"/>
                  <c:pt idx="0">
                    <c:v>0.04</c:v>
                  </c:pt>
                </c:numCache>
              </c:numRef>
            </c:minus>
            <c:spPr>
              <a:noFill/>
              <a:ln w="9525" cap="flat" cmpd="sng" algn="ctr">
                <a:solidFill>
                  <a:schemeClr val="tx1">
                    <a:lumMod val="65000"/>
                    <a:lumOff val="35000"/>
                  </a:schemeClr>
                </a:solidFill>
                <a:round/>
              </a:ln>
              <a:effectLst/>
            </c:spPr>
          </c:errBars>
          <c:cat>
            <c:strRef>
              <c:f>Sheet1!$C$3:$E$3</c:f>
              <c:strCache>
                <c:ptCount val="3"/>
                <c:pt idx="0">
                  <c:v>Repeated</c:v>
                </c:pt>
                <c:pt idx="1">
                  <c:v>Precommitted</c:v>
                </c:pt>
                <c:pt idx="2">
                  <c:v>Non-binding Precommitted</c:v>
                </c:pt>
              </c:strCache>
            </c:strRef>
          </c:cat>
          <c:val>
            <c:numRef>
              <c:f>Sheet1!$C$4:$E$4</c:f>
              <c:numCache>
                <c:formatCode>General</c:formatCode>
                <c:ptCount val="3"/>
                <c:pt idx="0">
                  <c:v>0.3</c:v>
                </c:pt>
                <c:pt idx="1">
                  <c:v>0.49</c:v>
                </c:pt>
                <c:pt idx="2">
                  <c:v>0.43</c:v>
                </c:pt>
              </c:numCache>
            </c:numRef>
          </c:val>
          <c:extLst>
            <c:ext xmlns:c16="http://schemas.microsoft.com/office/drawing/2014/chart" uri="{C3380CC4-5D6E-409C-BE32-E72D297353CC}">
              <c16:uniqueId val="{00000000-C8F8-41A3-9896-B639D61EB3EB}"/>
            </c:ext>
          </c:extLst>
        </c:ser>
        <c:dLbls>
          <c:showLegendKey val="0"/>
          <c:showVal val="0"/>
          <c:showCatName val="0"/>
          <c:showSerName val="0"/>
          <c:showPercent val="0"/>
          <c:showBubbleSize val="0"/>
        </c:dLbls>
        <c:gapWidth val="219"/>
        <c:overlap val="-27"/>
        <c:axId val="511018264"/>
        <c:axId val="511017936"/>
      </c:barChart>
      <c:catAx>
        <c:axId val="511018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1017936"/>
        <c:crosses val="autoZero"/>
        <c:auto val="1"/>
        <c:lblAlgn val="ctr"/>
        <c:lblOffset val="100"/>
        <c:noMultiLvlLbl val="0"/>
      </c:catAx>
      <c:valAx>
        <c:axId val="511017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CA"/>
                  <a:t>Proportion of safe choices</a:t>
                </a: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1018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6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Sheet1!$C$7</c:f>
              <c:strCache>
                <c:ptCount val="1"/>
                <c:pt idx="0">
                  <c:v>Repeated</c:v>
                </c:pt>
              </c:strCache>
            </c:strRef>
          </c:tx>
          <c:spPr>
            <a:ln w="28575" cap="rnd">
              <a:solidFill>
                <a:schemeClr val="tx1"/>
              </a:solidFill>
              <a:prstDash val="dash"/>
              <a:round/>
            </a:ln>
            <a:effectLst/>
          </c:spPr>
          <c:marker>
            <c:symbol val="none"/>
          </c:marker>
          <c:errBars>
            <c:errDir val="y"/>
            <c:errBarType val="both"/>
            <c:errValType val="cust"/>
            <c:noEndCap val="0"/>
            <c:plus>
              <c:numRef>
                <c:f>Sheet1!$I$7</c:f>
                <c:numCache>
                  <c:formatCode>General</c:formatCode>
                  <c:ptCount val="1"/>
                  <c:pt idx="0">
                    <c:v>0.02</c:v>
                  </c:pt>
                </c:numCache>
              </c:numRef>
            </c:plus>
            <c:minus>
              <c:numRef>
                <c:f>Sheet1!$I$7</c:f>
                <c:numCache>
                  <c:formatCode>General</c:formatCode>
                  <c:ptCount val="1"/>
                  <c:pt idx="0">
                    <c:v>0.02</c:v>
                  </c:pt>
                </c:numCache>
              </c:numRef>
            </c:minus>
            <c:spPr>
              <a:noFill/>
              <a:ln w="9525" cap="flat" cmpd="sng" algn="ctr">
                <a:solidFill>
                  <a:schemeClr val="tx1">
                    <a:lumMod val="65000"/>
                    <a:lumOff val="35000"/>
                  </a:schemeClr>
                </a:solidFill>
                <a:round/>
              </a:ln>
              <a:effectLst/>
            </c:spPr>
          </c:errBars>
          <c:cat>
            <c:strRef>
              <c:f>Sheet1!$D$6:$G$6</c:f>
              <c:strCache>
                <c:ptCount val="4"/>
                <c:pt idx="0">
                  <c:v>Block1</c:v>
                </c:pt>
                <c:pt idx="1">
                  <c:v>Block2</c:v>
                </c:pt>
                <c:pt idx="2">
                  <c:v>Block3</c:v>
                </c:pt>
                <c:pt idx="3">
                  <c:v>Block4</c:v>
                </c:pt>
              </c:strCache>
            </c:strRef>
          </c:cat>
          <c:val>
            <c:numRef>
              <c:f>Sheet1!$D$7:$G$7</c:f>
              <c:numCache>
                <c:formatCode>General</c:formatCode>
                <c:ptCount val="4"/>
                <c:pt idx="0">
                  <c:v>0.31</c:v>
                </c:pt>
                <c:pt idx="1">
                  <c:v>0.28000000000000003</c:v>
                </c:pt>
                <c:pt idx="2">
                  <c:v>0.28999999999999998</c:v>
                </c:pt>
                <c:pt idx="3">
                  <c:v>0.27</c:v>
                </c:pt>
              </c:numCache>
            </c:numRef>
          </c:val>
          <c:smooth val="0"/>
          <c:extLst>
            <c:ext xmlns:c16="http://schemas.microsoft.com/office/drawing/2014/chart" uri="{C3380CC4-5D6E-409C-BE32-E72D297353CC}">
              <c16:uniqueId val="{00000000-B143-4ACC-A4E8-4EAC98048103}"/>
            </c:ext>
          </c:extLst>
        </c:ser>
        <c:ser>
          <c:idx val="1"/>
          <c:order val="1"/>
          <c:tx>
            <c:strRef>
              <c:f>Sheet1!$C$8</c:f>
              <c:strCache>
                <c:ptCount val="1"/>
                <c:pt idx="0">
                  <c:v>Non-binding Precommitment</c:v>
                </c:pt>
              </c:strCache>
            </c:strRef>
          </c:tx>
          <c:spPr>
            <a:ln w="28575" cap="rnd">
              <a:solidFill>
                <a:schemeClr val="tx1"/>
              </a:solidFill>
              <a:round/>
            </a:ln>
            <a:effectLst/>
          </c:spPr>
          <c:marker>
            <c:symbol val="none"/>
          </c:marker>
          <c:errBars>
            <c:errDir val="y"/>
            <c:errBarType val="both"/>
            <c:errValType val="cust"/>
            <c:noEndCap val="0"/>
            <c:plus>
              <c:numRef>
                <c:f>Sheet1!$I$7</c:f>
                <c:numCache>
                  <c:formatCode>General</c:formatCode>
                  <c:ptCount val="1"/>
                  <c:pt idx="0">
                    <c:v>0.02</c:v>
                  </c:pt>
                </c:numCache>
              </c:numRef>
            </c:plus>
            <c:minus>
              <c:numRef>
                <c:f>Sheet1!$I$7</c:f>
                <c:numCache>
                  <c:formatCode>General</c:formatCode>
                  <c:ptCount val="1"/>
                  <c:pt idx="0">
                    <c:v>0.02</c:v>
                  </c:pt>
                </c:numCache>
              </c:numRef>
            </c:minus>
            <c:spPr>
              <a:noFill/>
              <a:ln w="9525" cap="flat" cmpd="sng" algn="ctr">
                <a:solidFill>
                  <a:schemeClr val="tx1">
                    <a:lumMod val="65000"/>
                    <a:lumOff val="35000"/>
                  </a:schemeClr>
                </a:solidFill>
                <a:round/>
              </a:ln>
              <a:effectLst/>
            </c:spPr>
          </c:errBars>
          <c:cat>
            <c:strRef>
              <c:f>Sheet1!$D$6:$G$6</c:f>
              <c:strCache>
                <c:ptCount val="4"/>
                <c:pt idx="0">
                  <c:v>Block1</c:v>
                </c:pt>
                <c:pt idx="1">
                  <c:v>Block2</c:v>
                </c:pt>
                <c:pt idx="2">
                  <c:v>Block3</c:v>
                </c:pt>
                <c:pt idx="3">
                  <c:v>Block4</c:v>
                </c:pt>
              </c:strCache>
            </c:strRef>
          </c:cat>
          <c:val>
            <c:numRef>
              <c:f>Sheet1!$D$8:$G$8</c:f>
              <c:numCache>
                <c:formatCode>General</c:formatCode>
                <c:ptCount val="4"/>
                <c:pt idx="0">
                  <c:v>0.51</c:v>
                </c:pt>
                <c:pt idx="1">
                  <c:v>0.46</c:v>
                </c:pt>
                <c:pt idx="2">
                  <c:v>0.46</c:v>
                </c:pt>
                <c:pt idx="3">
                  <c:v>0.43</c:v>
                </c:pt>
              </c:numCache>
            </c:numRef>
          </c:val>
          <c:smooth val="0"/>
          <c:extLst>
            <c:ext xmlns:c16="http://schemas.microsoft.com/office/drawing/2014/chart" uri="{C3380CC4-5D6E-409C-BE32-E72D297353CC}">
              <c16:uniqueId val="{00000001-B143-4ACC-A4E8-4EAC98048103}"/>
            </c:ext>
          </c:extLst>
        </c:ser>
        <c:dLbls>
          <c:showLegendKey val="0"/>
          <c:showVal val="0"/>
          <c:showCatName val="0"/>
          <c:showSerName val="0"/>
          <c:showPercent val="0"/>
          <c:showBubbleSize val="0"/>
        </c:dLbls>
        <c:smooth val="0"/>
        <c:axId val="346919048"/>
        <c:axId val="346919376"/>
      </c:lineChart>
      <c:catAx>
        <c:axId val="34691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6919376"/>
        <c:crosses val="autoZero"/>
        <c:auto val="1"/>
        <c:lblAlgn val="ctr"/>
        <c:lblOffset val="100"/>
        <c:noMultiLvlLbl val="0"/>
      </c:catAx>
      <c:valAx>
        <c:axId val="346919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CA"/>
                  <a:t>Proportion of safe choices</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691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Sheet1!$B$5</c:f>
              <c:strCache>
                <c:ptCount val="1"/>
                <c:pt idx="0">
                  <c:v>IDS Repeated</c:v>
                </c:pt>
              </c:strCache>
            </c:strRef>
          </c:tx>
          <c:spPr>
            <a:ln w="28575" cap="rnd">
              <a:solidFill>
                <a:schemeClr val="tx1"/>
              </a:solidFill>
              <a:prstDash val="dashDot"/>
              <a:round/>
            </a:ln>
            <a:effectLst/>
          </c:spPr>
          <c:marker>
            <c:symbol val="none"/>
          </c:marker>
          <c:errBars>
            <c:errDir val="y"/>
            <c:errBarType val="both"/>
            <c:errValType val="cust"/>
            <c:noEndCap val="0"/>
            <c:plus>
              <c:numRef>
                <c:f>Sheet1!$G$5:$I$5</c:f>
                <c:numCache>
                  <c:formatCode>General</c:formatCode>
                  <c:ptCount val="3"/>
                  <c:pt idx="0">
                    <c:v>0.04</c:v>
                  </c:pt>
                  <c:pt idx="1">
                    <c:v>0.05</c:v>
                  </c:pt>
                  <c:pt idx="2">
                    <c:v>0.04</c:v>
                  </c:pt>
                </c:numCache>
              </c:numRef>
            </c:plus>
            <c:minus>
              <c:numRef>
                <c:f>Sheet1!$G$5:$I$5</c:f>
                <c:numCache>
                  <c:formatCode>General</c:formatCode>
                  <c:ptCount val="3"/>
                  <c:pt idx="0">
                    <c:v>0.04</c:v>
                  </c:pt>
                  <c:pt idx="1">
                    <c:v>0.05</c:v>
                  </c:pt>
                  <c:pt idx="2">
                    <c:v>0.04</c:v>
                  </c:pt>
                </c:numCache>
              </c:numRef>
            </c:minus>
            <c:spPr>
              <a:noFill/>
              <a:ln w="9525" cap="flat" cmpd="sng" algn="ctr">
                <a:solidFill>
                  <a:schemeClr val="tx1">
                    <a:lumMod val="65000"/>
                    <a:lumOff val="35000"/>
                  </a:schemeClr>
                </a:solidFill>
                <a:round/>
              </a:ln>
              <a:effectLst/>
            </c:spPr>
          </c:errBars>
          <c:cat>
            <c:strRef>
              <c:f>Sheet1!$C$4:$E$4</c:f>
              <c:strCache>
                <c:ptCount val="3"/>
                <c:pt idx="0">
                  <c:v>Block 1</c:v>
                </c:pt>
                <c:pt idx="1">
                  <c:v>Block 2</c:v>
                </c:pt>
                <c:pt idx="2">
                  <c:v>Block 3</c:v>
                </c:pt>
              </c:strCache>
            </c:strRef>
          </c:cat>
          <c:val>
            <c:numRef>
              <c:f>Sheet1!$C$5:$E$5</c:f>
              <c:numCache>
                <c:formatCode>General</c:formatCode>
                <c:ptCount val="3"/>
                <c:pt idx="0">
                  <c:v>0.35</c:v>
                </c:pt>
                <c:pt idx="1">
                  <c:v>0.28999999999999998</c:v>
                </c:pt>
                <c:pt idx="2">
                  <c:v>0.28999999999999998</c:v>
                </c:pt>
              </c:numCache>
            </c:numRef>
          </c:val>
          <c:smooth val="0"/>
          <c:extLst>
            <c:ext xmlns:c16="http://schemas.microsoft.com/office/drawing/2014/chart" uri="{C3380CC4-5D6E-409C-BE32-E72D297353CC}">
              <c16:uniqueId val="{00000000-119D-49C7-B4C8-6EA1CCC25964}"/>
            </c:ext>
          </c:extLst>
        </c:ser>
        <c:ser>
          <c:idx val="1"/>
          <c:order val="1"/>
          <c:tx>
            <c:strRef>
              <c:f>Sheet1!$B$6</c:f>
              <c:strCache>
                <c:ptCount val="1"/>
                <c:pt idx="0">
                  <c:v>IDS Precommitted</c:v>
                </c:pt>
              </c:strCache>
            </c:strRef>
          </c:tx>
          <c:spPr>
            <a:ln w="28575" cap="rnd">
              <a:solidFill>
                <a:schemeClr val="tx1"/>
              </a:solidFill>
              <a:prstDash val="dash"/>
              <a:round/>
            </a:ln>
            <a:effectLst/>
          </c:spPr>
          <c:marker>
            <c:symbol val="none"/>
          </c:marker>
          <c:errBars>
            <c:errDir val="y"/>
            <c:errBarType val="both"/>
            <c:errValType val="cust"/>
            <c:noEndCap val="0"/>
            <c:plus>
              <c:numRef>
                <c:f>Sheet1!$G$6:$I$6</c:f>
                <c:numCache>
                  <c:formatCode>General</c:formatCode>
                  <c:ptCount val="3"/>
                  <c:pt idx="0">
                    <c:v>0.05</c:v>
                  </c:pt>
                  <c:pt idx="1">
                    <c:v>0.05</c:v>
                  </c:pt>
                  <c:pt idx="2">
                    <c:v>0.05</c:v>
                  </c:pt>
                </c:numCache>
              </c:numRef>
            </c:plus>
            <c:minus>
              <c:numRef>
                <c:f>Sheet1!$G$6:$I$6</c:f>
                <c:numCache>
                  <c:formatCode>General</c:formatCode>
                  <c:ptCount val="3"/>
                  <c:pt idx="0">
                    <c:v>0.05</c:v>
                  </c:pt>
                  <c:pt idx="1">
                    <c:v>0.05</c:v>
                  </c:pt>
                  <c:pt idx="2">
                    <c:v>0.05</c:v>
                  </c:pt>
                </c:numCache>
              </c:numRef>
            </c:minus>
            <c:spPr>
              <a:noFill/>
              <a:ln w="9525" cap="flat" cmpd="sng" algn="ctr">
                <a:solidFill>
                  <a:schemeClr val="tx1">
                    <a:lumMod val="65000"/>
                    <a:lumOff val="35000"/>
                  </a:schemeClr>
                </a:solidFill>
                <a:round/>
              </a:ln>
              <a:effectLst/>
            </c:spPr>
          </c:errBars>
          <c:cat>
            <c:strRef>
              <c:f>Sheet1!$C$4:$E$4</c:f>
              <c:strCache>
                <c:ptCount val="3"/>
                <c:pt idx="0">
                  <c:v>Block 1</c:v>
                </c:pt>
                <c:pt idx="1">
                  <c:v>Block 2</c:v>
                </c:pt>
                <c:pt idx="2">
                  <c:v>Block 3</c:v>
                </c:pt>
              </c:strCache>
            </c:strRef>
          </c:cat>
          <c:val>
            <c:numRef>
              <c:f>Sheet1!$C$6:$E$6</c:f>
              <c:numCache>
                <c:formatCode>General</c:formatCode>
                <c:ptCount val="3"/>
                <c:pt idx="0">
                  <c:v>0.56000000000000005</c:v>
                </c:pt>
                <c:pt idx="1">
                  <c:v>0.47</c:v>
                </c:pt>
                <c:pt idx="2">
                  <c:v>0.45</c:v>
                </c:pt>
              </c:numCache>
            </c:numRef>
          </c:val>
          <c:smooth val="0"/>
          <c:extLst>
            <c:ext xmlns:c16="http://schemas.microsoft.com/office/drawing/2014/chart" uri="{C3380CC4-5D6E-409C-BE32-E72D297353CC}">
              <c16:uniqueId val="{00000001-119D-49C7-B4C8-6EA1CCC25964}"/>
            </c:ext>
          </c:extLst>
        </c:ser>
        <c:ser>
          <c:idx val="2"/>
          <c:order val="2"/>
          <c:tx>
            <c:strRef>
              <c:f>Sheet1!$B$7</c:f>
              <c:strCache>
                <c:ptCount val="1"/>
                <c:pt idx="0">
                  <c:v>IDS Non-binding</c:v>
                </c:pt>
              </c:strCache>
            </c:strRef>
          </c:tx>
          <c:spPr>
            <a:ln w="28575" cap="rnd">
              <a:solidFill>
                <a:schemeClr val="tx1"/>
              </a:solidFill>
              <a:prstDash val="sysDot"/>
              <a:round/>
            </a:ln>
            <a:effectLst/>
          </c:spPr>
          <c:marker>
            <c:symbol val="none"/>
          </c:marker>
          <c:errBars>
            <c:errDir val="y"/>
            <c:errBarType val="both"/>
            <c:errValType val="cust"/>
            <c:noEndCap val="0"/>
            <c:plus>
              <c:numRef>
                <c:f>Sheet1!$G$7:$I$7</c:f>
                <c:numCache>
                  <c:formatCode>General</c:formatCode>
                  <c:ptCount val="3"/>
                  <c:pt idx="0">
                    <c:v>0.04</c:v>
                  </c:pt>
                  <c:pt idx="1">
                    <c:v>0.05</c:v>
                  </c:pt>
                  <c:pt idx="2">
                    <c:v>0.04</c:v>
                  </c:pt>
                </c:numCache>
              </c:numRef>
            </c:plus>
            <c:minus>
              <c:numRef>
                <c:f>Sheet1!$G$7:$I$7</c:f>
                <c:numCache>
                  <c:formatCode>General</c:formatCode>
                  <c:ptCount val="3"/>
                  <c:pt idx="0">
                    <c:v>0.04</c:v>
                  </c:pt>
                  <c:pt idx="1">
                    <c:v>0.05</c:v>
                  </c:pt>
                  <c:pt idx="2">
                    <c:v>0.04</c:v>
                  </c:pt>
                </c:numCache>
              </c:numRef>
            </c:minus>
            <c:spPr>
              <a:noFill/>
              <a:ln w="9525" cap="flat" cmpd="sng" algn="ctr">
                <a:solidFill>
                  <a:schemeClr val="tx1">
                    <a:lumMod val="65000"/>
                    <a:lumOff val="35000"/>
                  </a:schemeClr>
                </a:solidFill>
                <a:round/>
              </a:ln>
              <a:effectLst/>
            </c:spPr>
          </c:errBars>
          <c:cat>
            <c:strRef>
              <c:f>Sheet1!$C$4:$E$4</c:f>
              <c:strCache>
                <c:ptCount val="3"/>
                <c:pt idx="0">
                  <c:v>Block 1</c:v>
                </c:pt>
                <c:pt idx="1">
                  <c:v>Block 2</c:v>
                </c:pt>
                <c:pt idx="2">
                  <c:v>Block 3</c:v>
                </c:pt>
              </c:strCache>
            </c:strRef>
          </c:cat>
          <c:val>
            <c:numRef>
              <c:f>Sheet1!$C$7:$E$7</c:f>
              <c:numCache>
                <c:formatCode>General</c:formatCode>
                <c:ptCount val="3"/>
                <c:pt idx="0">
                  <c:v>0.34</c:v>
                </c:pt>
                <c:pt idx="1">
                  <c:v>0.32</c:v>
                </c:pt>
                <c:pt idx="2">
                  <c:v>0.3</c:v>
                </c:pt>
              </c:numCache>
            </c:numRef>
          </c:val>
          <c:smooth val="0"/>
          <c:extLst>
            <c:ext xmlns:c16="http://schemas.microsoft.com/office/drawing/2014/chart" uri="{C3380CC4-5D6E-409C-BE32-E72D297353CC}">
              <c16:uniqueId val="{00000002-119D-49C7-B4C8-6EA1CCC25964}"/>
            </c:ext>
          </c:extLst>
        </c:ser>
        <c:dLbls>
          <c:showLegendKey val="0"/>
          <c:showVal val="0"/>
          <c:showCatName val="0"/>
          <c:showSerName val="0"/>
          <c:showPercent val="0"/>
          <c:showBubbleSize val="0"/>
        </c:dLbls>
        <c:smooth val="0"/>
        <c:axId val="383343880"/>
        <c:axId val="383344208"/>
      </c:lineChart>
      <c:catAx>
        <c:axId val="38334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3344208"/>
        <c:crosses val="autoZero"/>
        <c:auto val="1"/>
        <c:lblAlgn val="ctr"/>
        <c:lblOffset val="100"/>
        <c:noMultiLvlLbl val="0"/>
      </c:catAx>
      <c:valAx>
        <c:axId val="383344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CA"/>
                  <a:t>Proportion of Choices</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3343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88C2C-C551-4654-887E-1EA8E933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52</Pages>
  <Words>15348</Words>
  <Characters>87488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Title</vt:lpstr>
    </vt:vector>
  </TitlesOfParts>
  <Company>Columbia University</Company>
  <LinksUpToDate>false</LinksUpToDate>
  <CharactersWithSpaces>102631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David Hardisty</dc:creator>
  <cp:keywords/>
  <dc:description/>
  <cp:lastModifiedBy>David Hardisty</cp:lastModifiedBy>
  <cp:revision>98</cp:revision>
  <dcterms:created xsi:type="dcterms:W3CDTF">2020-08-15T22:45:00Z</dcterms:created>
  <dcterms:modified xsi:type="dcterms:W3CDTF">2020-08-25T21:21:00Z</dcterms:modified>
</cp:coreProperties>
</file>